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2435" w14:textId="278FB095" w:rsidR="00565DCB" w:rsidRDefault="00194F2F" w:rsidP="00194F2F">
      <w:pPr>
        <w:pStyle w:val="Heading1"/>
        <w:jc w:val="center"/>
      </w:pPr>
      <w:r>
        <w:t>E</w:t>
      </w:r>
      <w:r w:rsidR="00565DCB" w:rsidRPr="00194F2F">
        <w:t>xercise</w:t>
      </w:r>
      <w:r>
        <w:t xml:space="preserve"> 6</w:t>
      </w:r>
    </w:p>
    <w:p w14:paraId="2126EA46" w14:textId="323648D3" w:rsidR="00194F2F" w:rsidRPr="00194F2F" w:rsidRDefault="00194F2F" w:rsidP="00AD58A3">
      <w:pPr>
        <w:pStyle w:val="Heading1"/>
        <w:jc w:val="center"/>
      </w:pPr>
      <w:r>
        <w:t>Reference Metadata</w:t>
      </w:r>
    </w:p>
    <w:p w14:paraId="3C2D41F9" w14:textId="62E2E930" w:rsidR="00565DCB" w:rsidRDefault="00C80735">
      <w:r w:rsidRPr="00C80735">
        <w:t>The objective of this exercise</w:t>
      </w:r>
      <w:r w:rsidR="00447D60">
        <w:t xml:space="preserve"> </w:t>
      </w:r>
      <w:r w:rsidR="005E228E">
        <w:t xml:space="preserve">is to practice how to </w:t>
      </w:r>
      <w:r w:rsidR="00632394">
        <w:t>aut</w:t>
      </w:r>
      <w:r w:rsidR="008E6AE0">
        <w:t xml:space="preserve">hor </w:t>
      </w:r>
      <w:r w:rsidR="0067276C">
        <w:t xml:space="preserve">SDG </w:t>
      </w:r>
      <w:r w:rsidR="008E6AE0">
        <w:t>metadata</w:t>
      </w:r>
      <w:r w:rsidR="0067276C">
        <w:t>.</w:t>
      </w:r>
    </w:p>
    <w:p w14:paraId="3A926B95" w14:textId="28085715" w:rsidR="007C1DC3" w:rsidRPr="00D3327F" w:rsidRDefault="00D3327F">
      <w:pPr>
        <w:rPr>
          <w:b/>
          <w:bCs/>
        </w:rPr>
      </w:pPr>
      <w:r w:rsidRPr="00D3327F">
        <w:rPr>
          <w:b/>
          <w:bCs/>
        </w:rPr>
        <w:t>Steps</w:t>
      </w:r>
    </w:p>
    <w:p w14:paraId="4D047B65" w14:textId="77777777" w:rsidR="006150D6" w:rsidRDefault="00A4664D" w:rsidP="006150D6">
      <w:pPr>
        <w:numPr>
          <w:ilvl w:val="0"/>
          <w:numId w:val="1"/>
        </w:numPr>
      </w:pPr>
      <w:r>
        <w:t>Download the template</w:t>
      </w:r>
      <w:r w:rsidR="006150D6">
        <w:t xml:space="preserve"> from </w:t>
      </w:r>
      <w:hyperlink r:id="rId8" w:history="1">
        <w:r w:rsidR="006150D6" w:rsidRPr="006150D6">
          <w:rPr>
            <w:rStyle w:val="Hyperlink"/>
          </w:rPr>
          <w:t>https://github.com/sdmx-sdgs/metadata/raw/master/SDG_Metadata_Template.docm</w:t>
        </w:r>
      </w:hyperlink>
    </w:p>
    <w:p w14:paraId="4CEC3DA8" w14:textId="359BC575" w:rsidR="006150D6" w:rsidRPr="00A51750" w:rsidRDefault="00D3327F" w:rsidP="006150D6">
      <w:pPr>
        <w:numPr>
          <w:ilvl w:val="0"/>
          <w:numId w:val="1"/>
        </w:numPr>
      </w:pPr>
      <w:r>
        <w:t>Rename the file for a particular SDG indicator</w:t>
      </w:r>
      <w:r w:rsidR="00732447">
        <w:t>.</w:t>
      </w:r>
      <w:r w:rsidR="002519DF">
        <w:t xml:space="preserve"> The example metadata we will use is for indicator </w:t>
      </w:r>
      <w:r w:rsidR="00AE64DE">
        <w:t>4.a.1, therefore the file name should look like</w:t>
      </w:r>
      <w:r w:rsidR="00732447">
        <w:t xml:space="preserve"> </w:t>
      </w:r>
      <w:proofErr w:type="gramStart"/>
      <w:r w:rsidR="003E47D5" w:rsidRPr="0015438E">
        <w:rPr>
          <w:b/>
          <w:bCs/>
        </w:rPr>
        <w:t>SDG_Metadata_4.a.1</w:t>
      </w:r>
      <w:r w:rsidR="0015438E" w:rsidRPr="0015438E">
        <w:rPr>
          <w:b/>
          <w:bCs/>
        </w:rPr>
        <w:t>.docm</w:t>
      </w:r>
      <w:proofErr w:type="gramEnd"/>
    </w:p>
    <w:p w14:paraId="19885DBA" w14:textId="0B4F15C5" w:rsidR="00AE64DE" w:rsidRDefault="00AE64DE" w:rsidP="00A51750">
      <w:pPr>
        <w:numPr>
          <w:ilvl w:val="1"/>
          <w:numId w:val="2"/>
        </w:numPr>
      </w:pPr>
      <w:r w:rsidRPr="00A51750">
        <w:t xml:space="preserve">Note that in the case of some </w:t>
      </w:r>
      <w:r w:rsidR="00FB3B53">
        <w:t xml:space="preserve">other </w:t>
      </w:r>
      <w:r w:rsidRPr="00A51750">
        <w:t>indicators, more than one metadata file may be required.</w:t>
      </w:r>
    </w:p>
    <w:p w14:paraId="24E8DA1D" w14:textId="03D2FDA5" w:rsidR="009B5585" w:rsidRDefault="009B5585" w:rsidP="00AD58A3">
      <w:pPr>
        <w:numPr>
          <w:ilvl w:val="0"/>
          <w:numId w:val="1"/>
        </w:numPr>
      </w:pPr>
      <w:r>
        <w:t xml:space="preserve">Open the file for editing. </w:t>
      </w:r>
      <w:r w:rsidRPr="009B5585">
        <w:t xml:space="preserve">Press the “Enable editing” and “Enable content” buttons as </w:t>
      </w:r>
      <w:proofErr w:type="gramStart"/>
      <w:r w:rsidRPr="009B5585">
        <w:t>needed</w:t>
      </w:r>
      <w:proofErr w:type="gramEnd"/>
    </w:p>
    <w:p w14:paraId="0AD97BE5" w14:textId="5059573E" w:rsidR="009B5585" w:rsidRDefault="00D35F77" w:rsidP="00AD58A3">
      <w:pPr>
        <w:numPr>
          <w:ilvl w:val="0"/>
          <w:numId w:val="1"/>
        </w:numPr>
      </w:pPr>
      <w:r>
        <w:t xml:space="preserve">Using the information at the end of this file, complete the </w:t>
      </w:r>
      <w:proofErr w:type="gramStart"/>
      <w:r>
        <w:t>template</w:t>
      </w:r>
      <w:proofErr w:type="gramEnd"/>
    </w:p>
    <w:p w14:paraId="06150122" w14:textId="1C0ECF55" w:rsidR="009B5585" w:rsidRDefault="008A676E" w:rsidP="00142B4B">
      <w:pPr>
        <w:numPr>
          <w:ilvl w:val="1"/>
          <w:numId w:val="2"/>
        </w:numPr>
      </w:pPr>
      <w:r>
        <w:t xml:space="preserve">In this case, </w:t>
      </w:r>
      <w:r w:rsidR="00E94BF5">
        <w:t>“Import the SDMX DSD from Global Registry” to use the global SDG DSD</w:t>
      </w:r>
      <w:r w:rsidR="00750CF9">
        <w:t xml:space="preserve"> to update the </w:t>
      </w:r>
      <w:proofErr w:type="gramStart"/>
      <w:r w:rsidR="00750CF9">
        <w:t>dropdowns</w:t>
      </w:r>
      <w:proofErr w:type="gramEnd"/>
    </w:p>
    <w:p w14:paraId="2EF91970" w14:textId="3757D960" w:rsidR="009B5585" w:rsidRDefault="007A76C6" w:rsidP="00142B4B">
      <w:pPr>
        <w:numPr>
          <w:ilvl w:val="1"/>
          <w:numId w:val="2"/>
        </w:numPr>
      </w:pPr>
      <w:r>
        <w:t>Select reporting type “National (N)”</w:t>
      </w:r>
    </w:p>
    <w:p w14:paraId="367C5BA2" w14:textId="71B862D1" w:rsidR="009B5585" w:rsidRDefault="00E14806" w:rsidP="00142B4B">
      <w:pPr>
        <w:numPr>
          <w:ilvl w:val="1"/>
          <w:numId w:val="2"/>
        </w:numPr>
      </w:pPr>
      <w:r>
        <w:t>Select SDG series</w:t>
      </w:r>
      <w:r w:rsidR="00750CF9">
        <w:t xml:space="preserve">. Note that multiple series exist for indicator 4.a.1. Use the </w:t>
      </w:r>
      <w:r w:rsidR="00E365F3">
        <w:rPr>
          <w:b/>
          <w:bCs/>
        </w:rPr>
        <w:t>Add Series</w:t>
      </w:r>
      <w:r w:rsidR="00E365F3">
        <w:t xml:space="preserve"> button </w:t>
      </w:r>
      <w:r w:rsidR="006421F4">
        <w:t>to add all series for the indicator.</w:t>
      </w:r>
    </w:p>
    <w:p w14:paraId="7F04932E" w14:textId="5F209E4F" w:rsidR="009B5585" w:rsidRDefault="00E14806" w:rsidP="00142B4B">
      <w:pPr>
        <w:numPr>
          <w:ilvl w:val="1"/>
          <w:numId w:val="2"/>
        </w:numPr>
      </w:pPr>
      <w:r>
        <w:t>Select Reference area</w:t>
      </w:r>
      <w:r w:rsidR="00A51750">
        <w:t>. For this exercise, we will use the reference area “</w:t>
      </w:r>
      <w:r w:rsidR="00A51750" w:rsidRPr="00A51750">
        <w:rPr>
          <w:b/>
          <w:bCs/>
        </w:rPr>
        <w:t>Antarctica</w:t>
      </w:r>
      <w:r w:rsidR="00A51750">
        <w:t>” (</w:t>
      </w:r>
      <w:r w:rsidR="007B2ADE" w:rsidRPr="007B2ADE">
        <w:t>M49 reference area code is 10</w:t>
      </w:r>
      <w:r w:rsidR="00A51750">
        <w:t>)</w:t>
      </w:r>
    </w:p>
    <w:p w14:paraId="72003FEF" w14:textId="3C5E2C37" w:rsidR="009B5585" w:rsidRDefault="00B81D8B" w:rsidP="00142B4B">
      <w:pPr>
        <w:numPr>
          <w:ilvl w:val="1"/>
          <w:numId w:val="2"/>
        </w:numPr>
      </w:pPr>
      <w:r>
        <w:t xml:space="preserve">Select the metadata </w:t>
      </w:r>
      <w:proofErr w:type="gramStart"/>
      <w:r>
        <w:t>language</w:t>
      </w:r>
      <w:proofErr w:type="gramEnd"/>
    </w:p>
    <w:p w14:paraId="295FB6EB" w14:textId="77777777" w:rsidR="007437E5" w:rsidRDefault="00B81D8B" w:rsidP="00142B4B">
      <w:pPr>
        <w:numPr>
          <w:ilvl w:val="1"/>
          <w:numId w:val="2"/>
        </w:numPr>
      </w:pPr>
      <w:r>
        <w:t>Complete the rest of the template with the metadata provided at the end</w:t>
      </w:r>
      <w:r w:rsidR="00EE49B6">
        <w:t xml:space="preserve">. </w:t>
      </w:r>
    </w:p>
    <w:p w14:paraId="335D92B1" w14:textId="6838C138" w:rsidR="007437E5" w:rsidRDefault="007437E5" w:rsidP="007437E5">
      <w:pPr>
        <w:numPr>
          <w:ilvl w:val="2"/>
          <w:numId w:val="2"/>
        </w:numPr>
      </w:pPr>
      <w:r>
        <w:t>For the section related to the “</w:t>
      </w:r>
      <w:r w:rsidRPr="007437E5">
        <w:t>1. Data reporter</w:t>
      </w:r>
      <w:r>
        <w:t>”, please use your own information.</w:t>
      </w:r>
    </w:p>
    <w:p w14:paraId="6D7F248D" w14:textId="0E8542C8" w:rsidR="009B5585" w:rsidRDefault="00EE49B6" w:rsidP="007437E5">
      <w:pPr>
        <w:numPr>
          <w:ilvl w:val="2"/>
          <w:numId w:val="2"/>
        </w:numPr>
      </w:pPr>
      <w:r>
        <w:t>Use some of the features</w:t>
      </w:r>
      <w:r w:rsidR="002730F3">
        <w:t xml:space="preserve"> in word to test</w:t>
      </w:r>
      <w:r w:rsidR="00525741">
        <w:t xml:space="preserve"> them</w:t>
      </w:r>
      <w:r w:rsidR="002730F3">
        <w:t>, e.g.</w:t>
      </w:r>
    </w:p>
    <w:p w14:paraId="067EF209" w14:textId="0BC6A779" w:rsidR="002730F3" w:rsidRDefault="00623EB1" w:rsidP="007437E5">
      <w:pPr>
        <w:numPr>
          <w:ilvl w:val="3"/>
          <w:numId w:val="2"/>
        </w:numPr>
      </w:pPr>
      <w:r>
        <w:t>Bold, italics, underline, lists</w:t>
      </w:r>
      <w:r w:rsidR="00DD3CF0">
        <w:t>, headers, tables, pictures, equations</w:t>
      </w:r>
      <w:r w:rsidR="00135339">
        <w:t xml:space="preserve"> (</w:t>
      </w:r>
      <w:r w:rsidR="00135339" w:rsidRPr="00E22274">
        <w:rPr>
          <w:b/>
          <w:bCs/>
        </w:rPr>
        <w:t xml:space="preserve">for the </w:t>
      </w:r>
      <w:r w:rsidR="007437E5" w:rsidRPr="00E22274">
        <w:rPr>
          <w:b/>
          <w:bCs/>
        </w:rPr>
        <w:t xml:space="preserve">definition and </w:t>
      </w:r>
      <w:r w:rsidR="00135339" w:rsidRPr="00E22274">
        <w:rPr>
          <w:b/>
          <w:bCs/>
        </w:rPr>
        <w:t>computation method several options were left in the sample metadata so that can be tested</w:t>
      </w:r>
      <w:r w:rsidR="00135339">
        <w:t>)</w:t>
      </w:r>
    </w:p>
    <w:p w14:paraId="0FF8DAC7" w14:textId="5E60D53A" w:rsidR="00DD3CF0" w:rsidRDefault="00DD3CF0" w:rsidP="007437E5">
      <w:pPr>
        <w:numPr>
          <w:ilvl w:val="3"/>
          <w:numId w:val="2"/>
        </w:numPr>
      </w:pPr>
      <w:r>
        <w:t>Colors</w:t>
      </w:r>
    </w:p>
    <w:p w14:paraId="1AF59952" w14:textId="0DCDF22B" w:rsidR="009B5585" w:rsidRDefault="00885CAF" w:rsidP="00AD58A3">
      <w:pPr>
        <w:numPr>
          <w:ilvl w:val="0"/>
          <w:numId w:val="1"/>
        </w:numPr>
      </w:pPr>
      <w:r>
        <w:t xml:space="preserve">Save and close the word </w:t>
      </w:r>
      <w:proofErr w:type="gramStart"/>
      <w:r>
        <w:t>file</w:t>
      </w:r>
      <w:proofErr w:type="gramEnd"/>
    </w:p>
    <w:p w14:paraId="72EA27B4" w14:textId="2E11AB05" w:rsidR="00EE49B6" w:rsidRPr="00EE49B6" w:rsidRDefault="00EE49B6" w:rsidP="00AD58A3">
      <w:pPr>
        <w:numPr>
          <w:ilvl w:val="0"/>
          <w:numId w:val="1"/>
        </w:numPr>
      </w:pPr>
      <w:r w:rsidRPr="00EE49B6">
        <w:t xml:space="preserve">In your browser, </w:t>
      </w:r>
      <w:r>
        <w:t>op</w:t>
      </w:r>
      <w:r w:rsidR="00885107">
        <w:t xml:space="preserve">en </w:t>
      </w:r>
      <w:hyperlink r:id="rId9" w:history="1">
        <w:r w:rsidR="00885107" w:rsidRPr="00885107">
          <w:rPr>
            <w:rStyle w:val="Hyperlink"/>
          </w:rPr>
          <w:t>https://sdg-metadata-sdmx</w:t>
        </w:r>
        <w:r w:rsidR="00885107" w:rsidRPr="00885107">
          <w:rPr>
            <w:rStyle w:val="Hyperlink"/>
          </w:rPr>
          <w:t>.</w:t>
        </w:r>
        <w:r w:rsidR="00885107" w:rsidRPr="00885107">
          <w:rPr>
            <w:rStyle w:val="Hyperlink"/>
          </w:rPr>
          <w:t>herokuapp.com</w:t>
        </w:r>
      </w:hyperlink>
      <w:r w:rsidR="00885107">
        <w:t xml:space="preserve"> </w:t>
      </w:r>
      <w:r w:rsidR="003C299A">
        <w:t xml:space="preserve"> </w:t>
      </w:r>
      <w:r w:rsidRPr="00EE49B6">
        <w:t xml:space="preserve"> </w:t>
      </w:r>
    </w:p>
    <w:p w14:paraId="6EFCFA8E" w14:textId="60A65D2E" w:rsidR="00EE49B6" w:rsidRPr="00EE49B6" w:rsidRDefault="00EE49B6" w:rsidP="00AD58A3">
      <w:pPr>
        <w:numPr>
          <w:ilvl w:val="0"/>
          <w:numId w:val="1"/>
        </w:numPr>
      </w:pPr>
      <w:r w:rsidRPr="00EE49B6">
        <w:lastRenderedPageBreak/>
        <w:t>Drag in or select your saved Word file, then wait a moment for it to process.</w:t>
      </w:r>
      <w:r w:rsidR="002971CF">
        <w:t xml:space="preserve"> Note if there are warnings</w:t>
      </w:r>
      <w:r w:rsidR="00447BB0">
        <w:t>. If any, correct the issues and convert again.</w:t>
      </w:r>
    </w:p>
    <w:p w14:paraId="17D08E0D" w14:textId="77777777" w:rsidR="002730F3" w:rsidRPr="002730F3" w:rsidRDefault="002730F3" w:rsidP="00AD58A3">
      <w:pPr>
        <w:numPr>
          <w:ilvl w:val="0"/>
          <w:numId w:val="1"/>
        </w:numPr>
      </w:pPr>
      <w:r w:rsidRPr="002730F3">
        <w:t>Your browser will automatically download a zip file, containing two versions of the metadata:</w:t>
      </w:r>
    </w:p>
    <w:p w14:paraId="36E646D7" w14:textId="77777777" w:rsidR="002730F3" w:rsidRPr="002730F3" w:rsidRDefault="002730F3" w:rsidP="002730F3">
      <w:pPr>
        <w:numPr>
          <w:ilvl w:val="1"/>
          <w:numId w:val="2"/>
        </w:numPr>
      </w:pPr>
      <w:r w:rsidRPr="002730F3">
        <w:t xml:space="preserve">PDF version: Useful to see how exactly your metadata will be represented in the </w:t>
      </w:r>
      <w:proofErr w:type="gramStart"/>
      <w:r w:rsidRPr="002730F3">
        <w:t>SDMX</w:t>
      </w:r>
      <w:proofErr w:type="gramEnd"/>
    </w:p>
    <w:p w14:paraId="6D89A29C" w14:textId="3B386FD6" w:rsidR="009B5585" w:rsidRDefault="002730F3" w:rsidP="002730F3">
      <w:pPr>
        <w:numPr>
          <w:ilvl w:val="1"/>
          <w:numId w:val="2"/>
        </w:numPr>
      </w:pPr>
      <w:r w:rsidRPr="002730F3">
        <w:t>SDMX version: This is the completed SDMX output for your metadata.</w:t>
      </w:r>
    </w:p>
    <w:p w14:paraId="7BD919A6" w14:textId="2F6B6F41" w:rsidR="009B5585" w:rsidRPr="009B5585" w:rsidRDefault="002971CF" w:rsidP="002971CF">
      <w:pPr>
        <w:ind w:left="720"/>
      </w:pPr>
      <w:r>
        <w:t>Examine the files</w:t>
      </w:r>
      <w:r w:rsidR="00525741">
        <w:t xml:space="preserve">. In the pdf you will be able to see how the </w:t>
      </w:r>
      <w:r w:rsidR="00C3174A">
        <w:t>rich-text features were parsed/converted.</w:t>
      </w:r>
    </w:p>
    <w:p w14:paraId="6E5A2C81" w14:textId="3FFEAB88" w:rsidR="0067276C" w:rsidRDefault="0067276C"/>
    <w:p w14:paraId="6FBE5D2D" w14:textId="77777777" w:rsidR="00543F03" w:rsidRPr="00C80735" w:rsidRDefault="00543F03"/>
    <w:p w14:paraId="0799B575" w14:textId="77777777" w:rsidR="00543F03" w:rsidRDefault="00543F03">
      <w:pPr>
        <w:rPr>
          <w:b/>
          <w:bCs/>
        </w:rPr>
      </w:pPr>
      <w:r>
        <w:rPr>
          <w:b/>
          <w:bCs/>
        </w:rPr>
        <w:br w:type="page"/>
      </w:r>
    </w:p>
    <w:p w14:paraId="30F84A85" w14:textId="3D7B089E" w:rsidR="00C3174A" w:rsidRDefault="00C3174A" w:rsidP="00123ECB">
      <w:pPr>
        <w:spacing w:after="20"/>
        <w:rPr>
          <w:b/>
          <w:bCs/>
        </w:rPr>
      </w:pPr>
      <w:r>
        <w:rPr>
          <w:b/>
          <w:bCs/>
        </w:rPr>
        <w:lastRenderedPageBreak/>
        <w:t>Metadata example</w:t>
      </w:r>
    </w:p>
    <w:p w14:paraId="38748B7C" w14:textId="188A9E64" w:rsidR="005243B9" w:rsidRDefault="00C0749D" w:rsidP="00123ECB">
      <w:pPr>
        <w:spacing w:after="20"/>
        <w:rPr>
          <w:b/>
          <w:bCs/>
        </w:rPr>
      </w:pPr>
      <w:r>
        <w:rPr>
          <w:noProof/>
        </w:rPr>
        <w:drawing>
          <wp:inline distT="0" distB="0" distL="0" distR="0" wp14:anchorId="18EB2983" wp14:editId="334D915D">
            <wp:extent cx="5943600" cy="1869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869440"/>
                    </a:xfrm>
                    <a:prstGeom prst="rect">
                      <a:avLst/>
                    </a:prstGeom>
                  </pic:spPr>
                </pic:pic>
              </a:graphicData>
            </a:graphic>
          </wp:inline>
        </w:drawing>
      </w:r>
    </w:p>
    <w:p w14:paraId="62CEDEFC" w14:textId="12ADCF59" w:rsidR="007369C3" w:rsidRDefault="00FD13C6" w:rsidP="00123ECB">
      <w:pPr>
        <w:spacing w:after="20"/>
      </w:pPr>
      <w:r w:rsidRPr="00FD13C6">
        <w:rPr>
          <w:b/>
          <w:bCs/>
        </w:rPr>
        <w:t>Goal 4</w:t>
      </w:r>
      <w:r>
        <w:t xml:space="preserve">. Ensure inclusive and equitable quality education and promote lifelong learning opportunities for </w:t>
      </w:r>
      <w:proofErr w:type="gramStart"/>
      <w:r>
        <w:t>all</w:t>
      </w:r>
      <w:proofErr w:type="gramEnd"/>
    </w:p>
    <w:p w14:paraId="628862A6" w14:textId="745223AD" w:rsidR="007369C3" w:rsidRDefault="007369C3" w:rsidP="00123ECB">
      <w:pPr>
        <w:spacing w:after="20"/>
      </w:pPr>
      <w:r w:rsidRPr="00FD13C6">
        <w:rPr>
          <w:b/>
          <w:bCs/>
        </w:rPr>
        <w:t xml:space="preserve">Target </w:t>
      </w:r>
      <w:r w:rsidR="005954EB" w:rsidRPr="00FD13C6">
        <w:rPr>
          <w:b/>
          <w:bCs/>
        </w:rPr>
        <w:t>4.a</w:t>
      </w:r>
      <w:r w:rsidR="005954EB">
        <w:t xml:space="preserve"> Build and upgrade education facilities that are child, disability and gender sensitive and provide safe, non-violent, inclusive and effective learning environments for </w:t>
      </w:r>
      <w:proofErr w:type="gramStart"/>
      <w:r w:rsidR="005954EB">
        <w:t>all</w:t>
      </w:r>
      <w:proofErr w:type="gramEnd"/>
    </w:p>
    <w:p w14:paraId="0152AC38" w14:textId="0319F499" w:rsidR="004D2600" w:rsidRDefault="007369C3" w:rsidP="00123ECB">
      <w:pPr>
        <w:spacing w:after="20"/>
      </w:pPr>
      <w:r w:rsidRPr="00FD13C6">
        <w:rPr>
          <w:b/>
          <w:bCs/>
        </w:rPr>
        <w:t xml:space="preserve">Indicator </w:t>
      </w:r>
      <w:r w:rsidR="004D2600" w:rsidRPr="00FD13C6">
        <w:rPr>
          <w:b/>
          <w:bCs/>
        </w:rPr>
        <w:t>4.a.1</w:t>
      </w:r>
      <w:r w:rsidR="004D2600">
        <w:t xml:space="preserve"> Proportion of schools offering basic services, by type of service</w:t>
      </w:r>
      <w:r w:rsidR="005954EB">
        <w:t xml:space="preserve"> (GLOBAL)</w:t>
      </w:r>
    </w:p>
    <w:p w14:paraId="608493E0" w14:textId="77777777" w:rsidR="005243B9" w:rsidRDefault="005243B9" w:rsidP="00123ECB">
      <w:pPr>
        <w:spacing w:after="20"/>
      </w:pPr>
    </w:p>
    <w:p w14:paraId="4253B46F" w14:textId="523670E1" w:rsidR="00392D41" w:rsidRPr="00392D41" w:rsidRDefault="00392D41" w:rsidP="00123ECB">
      <w:pPr>
        <w:spacing w:after="20"/>
        <w:rPr>
          <w:b/>
          <w:bCs/>
        </w:rPr>
      </w:pPr>
      <w:r w:rsidRPr="00392D41">
        <w:rPr>
          <w:b/>
          <w:bCs/>
        </w:rPr>
        <w:t>Definition</w:t>
      </w:r>
    </w:p>
    <w:p w14:paraId="1F062E95" w14:textId="77777777" w:rsidR="007437E5" w:rsidRDefault="00170419" w:rsidP="00123ECB">
      <w:pPr>
        <w:spacing w:after="20"/>
      </w:pPr>
      <w:r>
        <w:t>Data represents the</w:t>
      </w:r>
      <w:r w:rsidR="007369C3">
        <w:t xml:space="preserve"> percentage of schools by level of education (primary education) with access to the given facility or service</w:t>
      </w:r>
      <w:r w:rsidR="00362D0D">
        <w:t>, such as</w:t>
      </w:r>
      <w:r w:rsidR="007437E5">
        <w:t>:</w:t>
      </w:r>
    </w:p>
    <w:p w14:paraId="394654B2" w14:textId="77777777" w:rsidR="007437E5" w:rsidRDefault="007437E5" w:rsidP="00123ECB">
      <w:pPr>
        <w:spacing w:after="20"/>
      </w:pPr>
    </w:p>
    <w:p w14:paraId="65E6B0AE" w14:textId="47722AB4" w:rsidR="007437E5" w:rsidRDefault="007437E5" w:rsidP="00123ECB">
      <w:pPr>
        <w:spacing w:after="20"/>
      </w:pPr>
      <w:r>
        <w:t>------</w:t>
      </w:r>
    </w:p>
    <w:p w14:paraId="2DE0361B" w14:textId="0F414FEF" w:rsidR="007369C3" w:rsidRDefault="00362D0D" w:rsidP="007437E5">
      <w:pPr>
        <w:spacing w:after="20"/>
      </w:pPr>
      <w:r>
        <w:t>(a) electricity; (b) the Internet for pedagogical purposes; (c) computers for pedagogical purposes; (d) adapted infrastructure and materials for students with disabilities; (e) basic drinking water; (f) single-sex basic sanitation facilities; and (g) basic handwashing facilities (as per the WASH indicator definitions)</w:t>
      </w:r>
      <w:r w:rsidR="00392D41">
        <w:t xml:space="preserve">. </w:t>
      </w:r>
    </w:p>
    <w:p w14:paraId="596AECD8" w14:textId="77777777" w:rsidR="007437E5" w:rsidRDefault="007437E5" w:rsidP="00123ECB">
      <w:pPr>
        <w:spacing w:after="20"/>
      </w:pPr>
    </w:p>
    <w:p w14:paraId="195C0BEB" w14:textId="40B93E27" w:rsidR="007437E5" w:rsidRDefault="007437E5" w:rsidP="00123ECB">
      <w:pPr>
        <w:spacing w:after="20"/>
      </w:pPr>
      <w:r>
        <w:t>------</w:t>
      </w:r>
    </w:p>
    <w:p w14:paraId="2D8971EB" w14:textId="77777777" w:rsidR="007437E5" w:rsidRDefault="007437E5" w:rsidP="00123ECB">
      <w:pPr>
        <w:spacing w:after="20"/>
      </w:pPr>
    </w:p>
    <w:p w14:paraId="4DF7FBDD" w14:textId="4071AB94" w:rsidR="007437E5" w:rsidRDefault="007437E5" w:rsidP="007437E5">
      <w:pPr>
        <w:pStyle w:val="ListParagraph"/>
        <w:numPr>
          <w:ilvl w:val="0"/>
          <w:numId w:val="5"/>
        </w:numPr>
        <w:spacing w:after="20"/>
      </w:pPr>
      <w:r>
        <w:t>electricity</w:t>
      </w:r>
    </w:p>
    <w:p w14:paraId="3BC6F327" w14:textId="2193EFAA" w:rsidR="007437E5" w:rsidRDefault="007437E5" w:rsidP="007437E5">
      <w:pPr>
        <w:pStyle w:val="ListParagraph"/>
        <w:numPr>
          <w:ilvl w:val="0"/>
          <w:numId w:val="5"/>
        </w:numPr>
        <w:spacing w:after="20"/>
      </w:pPr>
      <w:r>
        <w:t>the Internet for pedagogical purposes</w:t>
      </w:r>
    </w:p>
    <w:p w14:paraId="3663E48C" w14:textId="345EB025" w:rsidR="007437E5" w:rsidRDefault="007437E5" w:rsidP="007437E5">
      <w:pPr>
        <w:pStyle w:val="ListParagraph"/>
        <w:numPr>
          <w:ilvl w:val="0"/>
          <w:numId w:val="5"/>
        </w:numPr>
        <w:spacing w:after="20"/>
      </w:pPr>
      <w:r>
        <w:t>computers for pedagogical purposes</w:t>
      </w:r>
    </w:p>
    <w:p w14:paraId="60C173EA" w14:textId="296C1C3C" w:rsidR="007437E5" w:rsidRDefault="007437E5" w:rsidP="007437E5">
      <w:pPr>
        <w:pStyle w:val="ListParagraph"/>
        <w:numPr>
          <w:ilvl w:val="0"/>
          <w:numId w:val="5"/>
        </w:numPr>
        <w:spacing w:after="20"/>
      </w:pPr>
      <w:r>
        <w:t>adapted infrastructure and materials for students with disabilities</w:t>
      </w:r>
    </w:p>
    <w:p w14:paraId="64E84DAF" w14:textId="68A57888" w:rsidR="007437E5" w:rsidRDefault="007437E5" w:rsidP="007437E5">
      <w:pPr>
        <w:pStyle w:val="ListParagraph"/>
        <w:numPr>
          <w:ilvl w:val="0"/>
          <w:numId w:val="5"/>
        </w:numPr>
        <w:spacing w:after="20"/>
      </w:pPr>
      <w:r>
        <w:t>basic drinking water</w:t>
      </w:r>
    </w:p>
    <w:p w14:paraId="694C65B8" w14:textId="065760C5" w:rsidR="007437E5" w:rsidRDefault="007437E5" w:rsidP="007437E5">
      <w:pPr>
        <w:pStyle w:val="ListParagraph"/>
        <w:numPr>
          <w:ilvl w:val="0"/>
          <w:numId w:val="5"/>
        </w:numPr>
        <w:spacing w:after="20"/>
      </w:pPr>
      <w:r>
        <w:t>single-sex basic sanitation facilities</w:t>
      </w:r>
    </w:p>
    <w:p w14:paraId="6C2D338A" w14:textId="134178B7" w:rsidR="007437E5" w:rsidRDefault="007437E5" w:rsidP="007437E5">
      <w:pPr>
        <w:pStyle w:val="ListParagraph"/>
        <w:numPr>
          <w:ilvl w:val="0"/>
          <w:numId w:val="5"/>
        </w:numPr>
        <w:spacing w:after="20"/>
      </w:pPr>
      <w:r>
        <w:t>basic handwashing facilities (as per the WASH indicator definitions).</w:t>
      </w:r>
    </w:p>
    <w:p w14:paraId="4DAA9FE4" w14:textId="77777777" w:rsidR="007437E5" w:rsidRDefault="007437E5" w:rsidP="00123ECB">
      <w:pPr>
        <w:spacing w:after="20"/>
      </w:pPr>
    </w:p>
    <w:p w14:paraId="09075E7A" w14:textId="6A729DFD" w:rsidR="007437E5" w:rsidRDefault="007437E5" w:rsidP="00123ECB">
      <w:pPr>
        <w:spacing w:after="20"/>
      </w:pPr>
      <w:r>
        <w:t>-----</w:t>
      </w:r>
    </w:p>
    <w:p w14:paraId="23FB8023" w14:textId="77777777" w:rsidR="007437E5" w:rsidRDefault="007437E5" w:rsidP="00123ECB">
      <w:pPr>
        <w:spacing w:after="20"/>
      </w:pPr>
    </w:p>
    <w:tbl>
      <w:tblPr>
        <w:tblStyle w:val="TableGrid"/>
        <w:tblW w:w="0" w:type="auto"/>
        <w:tblInd w:w="720" w:type="dxa"/>
        <w:tblLook w:val="04A0" w:firstRow="1" w:lastRow="0" w:firstColumn="1" w:lastColumn="0" w:noHBand="0" w:noVBand="1"/>
      </w:tblPr>
      <w:tblGrid>
        <w:gridCol w:w="8630"/>
      </w:tblGrid>
      <w:tr w:rsidR="007437E5" w:rsidRPr="007437E5" w14:paraId="7E06D78D" w14:textId="77777777" w:rsidTr="007437E5">
        <w:tc>
          <w:tcPr>
            <w:tcW w:w="9350" w:type="dxa"/>
          </w:tcPr>
          <w:p w14:paraId="0BD824C2" w14:textId="77777777" w:rsidR="007437E5" w:rsidRPr="007437E5" w:rsidRDefault="007437E5" w:rsidP="009D752D">
            <w:pPr>
              <w:pStyle w:val="ListParagraph"/>
              <w:numPr>
                <w:ilvl w:val="0"/>
                <w:numId w:val="6"/>
              </w:numPr>
              <w:spacing w:after="20"/>
            </w:pPr>
            <w:r w:rsidRPr="007437E5">
              <w:t>electricity</w:t>
            </w:r>
          </w:p>
        </w:tc>
      </w:tr>
      <w:tr w:rsidR="007437E5" w:rsidRPr="007437E5" w14:paraId="705D9519" w14:textId="77777777" w:rsidTr="007437E5">
        <w:tc>
          <w:tcPr>
            <w:tcW w:w="9350" w:type="dxa"/>
          </w:tcPr>
          <w:p w14:paraId="67883B73" w14:textId="77777777" w:rsidR="007437E5" w:rsidRPr="007437E5" w:rsidRDefault="007437E5" w:rsidP="009D752D">
            <w:pPr>
              <w:pStyle w:val="ListParagraph"/>
              <w:numPr>
                <w:ilvl w:val="0"/>
                <w:numId w:val="6"/>
              </w:numPr>
              <w:spacing w:after="20"/>
            </w:pPr>
            <w:r w:rsidRPr="007437E5">
              <w:t>the Internet for pedagogical purposes</w:t>
            </w:r>
          </w:p>
        </w:tc>
      </w:tr>
      <w:tr w:rsidR="007437E5" w:rsidRPr="007437E5" w14:paraId="668F5306" w14:textId="77777777" w:rsidTr="007437E5">
        <w:tc>
          <w:tcPr>
            <w:tcW w:w="9350" w:type="dxa"/>
          </w:tcPr>
          <w:p w14:paraId="512DD69E" w14:textId="77777777" w:rsidR="007437E5" w:rsidRPr="007437E5" w:rsidRDefault="007437E5" w:rsidP="009D752D">
            <w:pPr>
              <w:pStyle w:val="ListParagraph"/>
              <w:numPr>
                <w:ilvl w:val="0"/>
                <w:numId w:val="6"/>
              </w:numPr>
              <w:spacing w:after="20"/>
            </w:pPr>
            <w:r w:rsidRPr="007437E5">
              <w:t>computers for pedagogical purposes</w:t>
            </w:r>
          </w:p>
        </w:tc>
      </w:tr>
      <w:tr w:rsidR="007437E5" w:rsidRPr="007437E5" w14:paraId="3E8F0EA7" w14:textId="77777777" w:rsidTr="007437E5">
        <w:tc>
          <w:tcPr>
            <w:tcW w:w="9350" w:type="dxa"/>
          </w:tcPr>
          <w:p w14:paraId="2370EF0A" w14:textId="77777777" w:rsidR="007437E5" w:rsidRPr="007437E5" w:rsidRDefault="007437E5" w:rsidP="009D752D">
            <w:pPr>
              <w:pStyle w:val="ListParagraph"/>
              <w:numPr>
                <w:ilvl w:val="0"/>
                <w:numId w:val="6"/>
              </w:numPr>
              <w:spacing w:after="20"/>
            </w:pPr>
            <w:r w:rsidRPr="007437E5">
              <w:t>adapted infrastructure and materials for students with disabilities</w:t>
            </w:r>
          </w:p>
        </w:tc>
      </w:tr>
      <w:tr w:rsidR="007437E5" w:rsidRPr="007437E5" w14:paraId="41E22C65" w14:textId="77777777" w:rsidTr="007437E5">
        <w:tc>
          <w:tcPr>
            <w:tcW w:w="9350" w:type="dxa"/>
          </w:tcPr>
          <w:p w14:paraId="1131E31B" w14:textId="77777777" w:rsidR="007437E5" w:rsidRPr="007437E5" w:rsidRDefault="007437E5" w:rsidP="009D752D">
            <w:pPr>
              <w:pStyle w:val="ListParagraph"/>
              <w:numPr>
                <w:ilvl w:val="0"/>
                <w:numId w:val="6"/>
              </w:numPr>
              <w:spacing w:after="20"/>
            </w:pPr>
            <w:r w:rsidRPr="007437E5">
              <w:t>basic drinking water</w:t>
            </w:r>
          </w:p>
        </w:tc>
      </w:tr>
      <w:tr w:rsidR="007437E5" w:rsidRPr="007437E5" w14:paraId="23AD77A0" w14:textId="77777777" w:rsidTr="007437E5">
        <w:tc>
          <w:tcPr>
            <w:tcW w:w="9350" w:type="dxa"/>
          </w:tcPr>
          <w:p w14:paraId="1CCDF144" w14:textId="77777777" w:rsidR="007437E5" w:rsidRPr="007437E5" w:rsidRDefault="007437E5" w:rsidP="009D752D">
            <w:pPr>
              <w:pStyle w:val="ListParagraph"/>
              <w:numPr>
                <w:ilvl w:val="0"/>
                <w:numId w:val="6"/>
              </w:numPr>
              <w:spacing w:after="20"/>
            </w:pPr>
            <w:r w:rsidRPr="007437E5">
              <w:lastRenderedPageBreak/>
              <w:t>single-sex basic sanitation facilities</w:t>
            </w:r>
          </w:p>
        </w:tc>
      </w:tr>
      <w:tr w:rsidR="007437E5" w:rsidRPr="007437E5" w14:paraId="488AF296" w14:textId="77777777" w:rsidTr="007437E5">
        <w:tc>
          <w:tcPr>
            <w:tcW w:w="9350" w:type="dxa"/>
          </w:tcPr>
          <w:p w14:paraId="50D2F843" w14:textId="77777777" w:rsidR="007437E5" w:rsidRPr="007437E5" w:rsidRDefault="007437E5" w:rsidP="009D752D">
            <w:pPr>
              <w:pStyle w:val="ListParagraph"/>
              <w:numPr>
                <w:ilvl w:val="0"/>
                <w:numId w:val="6"/>
              </w:numPr>
              <w:spacing w:after="20"/>
            </w:pPr>
            <w:r w:rsidRPr="007437E5">
              <w:t>basic handwashing facilities (as per the WASH indicator definitions).</w:t>
            </w:r>
          </w:p>
        </w:tc>
      </w:tr>
    </w:tbl>
    <w:p w14:paraId="4501266A" w14:textId="77777777" w:rsidR="007369C3" w:rsidRDefault="007369C3" w:rsidP="00123ECB">
      <w:pPr>
        <w:spacing w:after="20"/>
      </w:pPr>
    </w:p>
    <w:p w14:paraId="4BC30040" w14:textId="77777777" w:rsidR="007437E5" w:rsidRDefault="007437E5" w:rsidP="00123ECB">
      <w:pPr>
        <w:spacing w:after="20"/>
      </w:pPr>
    </w:p>
    <w:p w14:paraId="4BA31BD4" w14:textId="77777777" w:rsidR="007437E5" w:rsidRDefault="007437E5" w:rsidP="007437E5">
      <w:pPr>
        <w:spacing w:after="20"/>
      </w:pPr>
      <w:r>
        <w:t>NOTE: The indicator measures the existence in schools of the given service or facility but not its quality or operational state.</w:t>
      </w:r>
    </w:p>
    <w:p w14:paraId="50D6630F" w14:textId="77777777" w:rsidR="007437E5" w:rsidRDefault="007437E5" w:rsidP="00123ECB">
      <w:pPr>
        <w:spacing w:after="20"/>
      </w:pPr>
    </w:p>
    <w:p w14:paraId="3AFE46AF" w14:textId="77777777" w:rsidR="007437E5" w:rsidRDefault="007437E5" w:rsidP="00123ECB">
      <w:pPr>
        <w:spacing w:after="20"/>
      </w:pPr>
    </w:p>
    <w:p w14:paraId="24F908DA" w14:textId="77777777" w:rsidR="007369C3" w:rsidRPr="00392D41" w:rsidRDefault="007369C3" w:rsidP="00123ECB">
      <w:pPr>
        <w:spacing w:after="20"/>
        <w:rPr>
          <w:b/>
          <w:bCs/>
        </w:rPr>
      </w:pPr>
      <w:r w:rsidRPr="00392D41">
        <w:rPr>
          <w:b/>
          <w:bCs/>
        </w:rPr>
        <w:t>Key Concepts</w:t>
      </w:r>
    </w:p>
    <w:p w14:paraId="2E670E19" w14:textId="1110BFAB" w:rsidR="00362D0D" w:rsidRDefault="007369C3" w:rsidP="00123ECB">
      <w:pPr>
        <w:spacing w:after="20"/>
      </w:pPr>
      <w:r>
        <w:t xml:space="preserve">a) </w:t>
      </w:r>
      <w:r w:rsidRPr="00984A2B">
        <w:rPr>
          <w:color w:val="4472C4" w:themeColor="accent1"/>
        </w:rPr>
        <w:t>Electricity</w:t>
      </w:r>
      <w:r>
        <w:t xml:space="preserve">: Regularly and readily available sources of </w:t>
      </w:r>
      <w:proofErr w:type="gramStart"/>
      <w:r>
        <w:t>power;</w:t>
      </w:r>
      <w:proofErr w:type="gramEnd"/>
    </w:p>
    <w:p w14:paraId="5A022832" w14:textId="1FCCDB96" w:rsidR="00362D0D" w:rsidRDefault="007369C3" w:rsidP="00123ECB">
      <w:pPr>
        <w:spacing w:after="20"/>
      </w:pPr>
      <w:r>
        <w:t xml:space="preserve">b) </w:t>
      </w:r>
      <w:r w:rsidRPr="00984A2B">
        <w:rPr>
          <w:color w:val="4472C4" w:themeColor="accent1"/>
        </w:rPr>
        <w:t>Internet for pedagogical purposes</w:t>
      </w:r>
      <w:r>
        <w:t xml:space="preserve">: Internet that is available for enhancing teaching and learning and is accessible by </w:t>
      </w:r>
      <w:proofErr w:type="gramStart"/>
      <w:r>
        <w:t>pupils;</w:t>
      </w:r>
      <w:proofErr w:type="gramEnd"/>
    </w:p>
    <w:p w14:paraId="1645F3BF" w14:textId="77777777" w:rsidR="00362D0D" w:rsidRDefault="007369C3" w:rsidP="00123ECB">
      <w:pPr>
        <w:spacing w:after="20"/>
      </w:pPr>
      <w:r>
        <w:t xml:space="preserve">c) </w:t>
      </w:r>
      <w:r w:rsidRPr="00984A2B">
        <w:rPr>
          <w:color w:val="4472C4" w:themeColor="accent1"/>
        </w:rPr>
        <w:t>Computers for pedagogical use</w:t>
      </w:r>
      <w:r>
        <w:t xml:space="preserve">: Use of computers for teaching and learning </w:t>
      </w:r>
      <w:proofErr w:type="gramStart"/>
      <w:r>
        <w:t>needs;</w:t>
      </w:r>
      <w:proofErr w:type="gramEnd"/>
    </w:p>
    <w:p w14:paraId="0BC20207" w14:textId="77777777" w:rsidR="00362D0D" w:rsidRDefault="007369C3" w:rsidP="00123ECB">
      <w:pPr>
        <w:spacing w:after="20"/>
      </w:pPr>
      <w:r>
        <w:t xml:space="preserve">d) </w:t>
      </w:r>
      <w:r w:rsidRPr="00984A2B">
        <w:rPr>
          <w:color w:val="4472C4" w:themeColor="accent1"/>
        </w:rPr>
        <w:t>Adapted infrastructure</w:t>
      </w:r>
      <w:r>
        <w:t xml:space="preserve"> is defined as any built environment related to education facilities that are accessible to all users, including those with different types of disability. Adapted materials include learning materials and assistive products that enable students and teachers with disabilities to access </w:t>
      </w:r>
      <w:proofErr w:type="gramStart"/>
      <w:r>
        <w:t>learning;</w:t>
      </w:r>
      <w:proofErr w:type="gramEnd"/>
    </w:p>
    <w:p w14:paraId="0F0E9AE3" w14:textId="77777777" w:rsidR="00362D0D" w:rsidRDefault="007369C3" w:rsidP="00123ECB">
      <w:pPr>
        <w:spacing w:after="20"/>
      </w:pPr>
      <w:r>
        <w:t xml:space="preserve">e) </w:t>
      </w:r>
      <w:r w:rsidRPr="00984A2B">
        <w:rPr>
          <w:color w:val="4472C4" w:themeColor="accent1"/>
        </w:rPr>
        <w:t>Basic drinking water</w:t>
      </w:r>
      <w:r>
        <w:t xml:space="preserve"> is defined as a functional drinking water source accessible to all </w:t>
      </w:r>
      <w:proofErr w:type="gramStart"/>
      <w:r>
        <w:t>users;</w:t>
      </w:r>
      <w:proofErr w:type="gramEnd"/>
    </w:p>
    <w:p w14:paraId="65BAA23A" w14:textId="77777777" w:rsidR="00362D0D" w:rsidRDefault="007369C3" w:rsidP="00123ECB">
      <w:pPr>
        <w:spacing w:after="20"/>
      </w:pPr>
      <w:r>
        <w:t xml:space="preserve">f) </w:t>
      </w:r>
      <w:r w:rsidRPr="00984A2B">
        <w:rPr>
          <w:color w:val="4472C4" w:themeColor="accent1"/>
        </w:rPr>
        <w:t>Basic sanitation facilities</w:t>
      </w:r>
      <w:r>
        <w:t xml:space="preserve"> are defined as functional sanitation facilities separated for males and females on or near the </w:t>
      </w:r>
      <w:proofErr w:type="gramStart"/>
      <w:r>
        <w:t>premises;</w:t>
      </w:r>
      <w:proofErr w:type="gramEnd"/>
    </w:p>
    <w:p w14:paraId="1BDFAD8E" w14:textId="7D03E8D3" w:rsidR="007369C3" w:rsidRDefault="007369C3" w:rsidP="00123ECB">
      <w:pPr>
        <w:spacing w:after="20"/>
      </w:pPr>
      <w:r>
        <w:t xml:space="preserve">g) </w:t>
      </w:r>
      <w:r w:rsidRPr="00984A2B">
        <w:rPr>
          <w:color w:val="4472C4" w:themeColor="accent1"/>
        </w:rPr>
        <w:t>Basic handwashing facilities</w:t>
      </w:r>
      <w:r>
        <w:t xml:space="preserve"> (according to the WASH Initiative indicator definitions) are defined as functional handwashing facilities, with soap and water</w:t>
      </w:r>
      <w:r w:rsidR="00347623">
        <w:t>.</w:t>
      </w:r>
    </w:p>
    <w:p w14:paraId="2F62251F" w14:textId="77777777" w:rsidR="00362D0D" w:rsidRDefault="00362D0D" w:rsidP="00123ECB">
      <w:pPr>
        <w:spacing w:after="20"/>
      </w:pPr>
    </w:p>
    <w:p w14:paraId="7C24BE43" w14:textId="6873F5D3" w:rsidR="00E66F17" w:rsidRPr="00E66F17" w:rsidRDefault="00E66F17" w:rsidP="00123ECB">
      <w:pPr>
        <w:spacing w:after="20"/>
        <w:rPr>
          <w:b/>
          <w:bCs/>
        </w:rPr>
      </w:pPr>
      <w:r w:rsidRPr="00E66F17">
        <w:rPr>
          <w:b/>
          <w:bCs/>
        </w:rPr>
        <w:t>Data sources and collection</w:t>
      </w:r>
    </w:p>
    <w:p w14:paraId="10672A73" w14:textId="6B80BDA4" w:rsidR="00347623" w:rsidRDefault="00F32E37" w:rsidP="00347623">
      <w:pPr>
        <w:spacing w:after="20"/>
      </w:pPr>
      <w:r>
        <w:t xml:space="preserve">Data are provided by </w:t>
      </w:r>
      <w:proofErr w:type="gramStart"/>
      <w:r w:rsidR="007369C3">
        <w:t>Educational</w:t>
      </w:r>
      <w:proofErr w:type="gramEnd"/>
      <w:r w:rsidR="007369C3">
        <w:t xml:space="preserve"> organizations or District EO</w:t>
      </w:r>
      <w:r>
        <w:t xml:space="preserve"> using </w:t>
      </w:r>
      <w:r w:rsidR="00C52DCF">
        <w:t>questionnaires</w:t>
      </w:r>
      <w:r>
        <w:t>.</w:t>
      </w:r>
      <w:r w:rsidR="00347623">
        <w:t xml:space="preserve"> Data are available by region, </w:t>
      </w:r>
      <w:proofErr w:type="gramStart"/>
      <w:r w:rsidR="00347623">
        <w:t>district</w:t>
      </w:r>
      <w:proofErr w:type="gramEnd"/>
      <w:r w:rsidR="00347623">
        <w:t xml:space="preserve"> and school.</w:t>
      </w:r>
      <w:r w:rsidR="00CA583A">
        <w:t xml:space="preserve"> The raw data are checked for quality before being </w:t>
      </w:r>
      <w:r w:rsidR="00360422">
        <w:t>used</w:t>
      </w:r>
      <w:r w:rsidR="00CA583A">
        <w:t xml:space="preserve"> for further analysis.</w:t>
      </w:r>
      <w:r w:rsidR="00C52DCF">
        <w:t xml:space="preserve"> Logical and arithmetic control of recorded data is carried out.</w:t>
      </w:r>
    </w:p>
    <w:p w14:paraId="13638ADF" w14:textId="60D4275C" w:rsidR="007369C3" w:rsidRDefault="007369C3" w:rsidP="00123ECB">
      <w:pPr>
        <w:spacing w:after="20"/>
      </w:pPr>
    </w:p>
    <w:p w14:paraId="4079DF69" w14:textId="77777777" w:rsidR="007369C3" w:rsidRDefault="007369C3" w:rsidP="00123ECB">
      <w:pPr>
        <w:spacing w:after="20"/>
      </w:pPr>
    </w:p>
    <w:p w14:paraId="2DB24576" w14:textId="167030E0" w:rsidR="007369C3" w:rsidRPr="00392D41" w:rsidRDefault="007369C3" w:rsidP="00123ECB">
      <w:pPr>
        <w:spacing w:after="20"/>
        <w:rPr>
          <w:b/>
          <w:bCs/>
        </w:rPr>
      </w:pPr>
      <w:r w:rsidRPr="00392D41">
        <w:rPr>
          <w:b/>
          <w:bCs/>
        </w:rPr>
        <w:t>Computation Method</w:t>
      </w:r>
    </w:p>
    <w:p w14:paraId="49831FC4" w14:textId="51126F39" w:rsidR="007369C3" w:rsidRDefault="00F1090A" w:rsidP="00123ECB">
      <w:pPr>
        <w:spacing w:after="20"/>
      </w:pPr>
      <w:r>
        <w:rPr>
          <w:noProof/>
        </w:rPr>
        <w:drawing>
          <wp:inline distT="0" distB="0" distL="0" distR="0" wp14:anchorId="4B41C688" wp14:editId="5498D78C">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09345"/>
                    </a:xfrm>
                    <a:prstGeom prst="rect">
                      <a:avLst/>
                    </a:prstGeom>
                  </pic:spPr>
                </pic:pic>
              </a:graphicData>
            </a:graphic>
          </wp:inline>
        </w:drawing>
      </w:r>
    </w:p>
    <w:p w14:paraId="27F03457" w14:textId="77777777" w:rsidR="00F1090A" w:rsidRDefault="00F1090A" w:rsidP="00123ECB">
      <w:pPr>
        <w:spacing w:after="20"/>
      </w:pPr>
    </w:p>
    <w:p w14:paraId="6DD48CA7" w14:textId="72255375" w:rsidR="00A51750" w:rsidRDefault="00A51750" w:rsidP="00123ECB">
      <w:pPr>
        <w:spacing w:after="20"/>
      </w:pPr>
      <w:r>
        <w:t>------</w:t>
      </w:r>
    </w:p>
    <w:p w14:paraId="1BA534D8" w14:textId="05842673" w:rsidR="007369C3" w:rsidRDefault="007369C3" w:rsidP="00123ECB">
      <w:pPr>
        <w:spacing w:after="20"/>
      </w:pPr>
      <w:proofErr w:type="spellStart"/>
      <w:proofErr w:type="gramStart"/>
      <w:r>
        <w:t>PSn,f</w:t>
      </w:r>
      <w:proofErr w:type="spellEnd"/>
      <w:proofErr w:type="gramEnd"/>
      <w:r>
        <w:t xml:space="preserve"> = </w:t>
      </w:r>
      <w:proofErr w:type="spellStart"/>
      <w:r>
        <w:t>Sn,f</w:t>
      </w:r>
      <w:proofErr w:type="spellEnd"/>
      <w:r>
        <w:t>/ Sn * 100</w:t>
      </w:r>
    </w:p>
    <w:p w14:paraId="76102114" w14:textId="08C43DC2" w:rsidR="0090150E" w:rsidRDefault="007369C3" w:rsidP="00123ECB">
      <w:pPr>
        <w:spacing w:after="20"/>
      </w:pPr>
      <w:r>
        <w:t xml:space="preserve">where: </w:t>
      </w:r>
      <w:proofErr w:type="spellStart"/>
      <w:proofErr w:type="gramStart"/>
      <w:r>
        <w:t>PSn,f</w:t>
      </w:r>
      <w:proofErr w:type="spellEnd"/>
      <w:proofErr w:type="gramEnd"/>
      <w:r>
        <w:t xml:space="preserve"> = </w:t>
      </w:r>
      <w:r w:rsidR="00A84059">
        <w:t>percentage of schools at level n of education with access to facility f</w:t>
      </w:r>
    </w:p>
    <w:p w14:paraId="09CF5958" w14:textId="72A33EF6" w:rsidR="0090150E" w:rsidRDefault="007369C3" w:rsidP="00123ECB">
      <w:pPr>
        <w:spacing w:after="20"/>
      </w:pPr>
      <w:proofErr w:type="spellStart"/>
      <w:proofErr w:type="gramStart"/>
      <w:r>
        <w:t>Sn,f</w:t>
      </w:r>
      <w:proofErr w:type="spellEnd"/>
      <w:proofErr w:type="gramEnd"/>
      <w:r>
        <w:t xml:space="preserve"> = schools at level n of education with access to facility f</w:t>
      </w:r>
    </w:p>
    <w:p w14:paraId="5AA92A24" w14:textId="5F1379FD" w:rsidR="00B378AB" w:rsidRDefault="007369C3" w:rsidP="007437E5">
      <w:pPr>
        <w:spacing w:after="20"/>
      </w:pPr>
      <w:r>
        <w:t>Sn = total number of schools at level n of education</w:t>
      </w:r>
    </w:p>
    <w:p w14:paraId="351DF96B" w14:textId="36282470" w:rsidR="00A51750" w:rsidRDefault="00A51750" w:rsidP="00123ECB">
      <w:pPr>
        <w:spacing w:after="20"/>
      </w:pPr>
      <w:r>
        <w:lastRenderedPageBreak/>
        <w:t>-------</w:t>
      </w:r>
    </w:p>
    <w:p w14:paraId="37B79941" w14:textId="05031CA5" w:rsidR="001360B3" w:rsidRDefault="00000000" w:rsidP="00123ECB">
      <w:pPr>
        <w:spacing w:after="20"/>
      </w:pPr>
      <m:oMathPara>
        <m:oMath>
          <m:sSub>
            <m:sSubPr>
              <m:ctrlPr>
                <w:rPr>
                  <w:rFonts w:ascii="Cambria Math" w:hAnsi="Cambria Math"/>
                  <w:i/>
                </w:rPr>
              </m:ctrlPr>
            </m:sSubPr>
            <m:e>
              <m:r>
                <w:rPr>
                  <w:rFonts w:ascii="Cambria Math" w:hAnsi="Cambria Math"/>
                </w:rPr>
                <m:t>PS</m:t>
              </m:r>
            </m:e>
            <m:sub>
              <m:r>
                <w:rPr>
                  <w:rFonts w:ascii="Cambria Math" w:hAnsi="Cambria Math"/>
                </w:rPr>
                <m:t>n,f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n,f</m:t>
                  </m:r>
                </m:sub>
              </m:sSub>
            </m:num>
            <m:den>
              <m:sSub>
                <m:sSubPr>
                  <m:ctrlPr>
                    <w:rPr>
                      <w:rFonts w:ascii="Cambria Math" w:hAnsi="Cambria Math"/>
                      <w:i/>
                    </w:rPr>
                  </m:ctrlPr>
                </m:sSubPr>
                <m:e>
                  <m:r>
                    <w:rPr>
                      <w:rFonts w:ascii="Cambria Math" w:hAnsi="Cambria Math"/>
                    </w:rPr>
                    <m:t>S</m:t>
                  </m:r>
                </m:e>
                <m:sub>
                  <m:r>
                    <w:rPr>
                      <w:rFonts w:ascii="Cambria Math" w:hAnsi="Cambria Math"/>
                    </w:rPr>
                    <m:t>n</m:t>
                  </m:r>
                </m:sub>
              </m:sSub>
            </m:den>
          </m:f>
          <m:r>
            <w:rPr>
              <w:rFonts w:ascii="Cambria Math" w:hAnsi="Cambria Math"/>
            </w:rPr>
            <m:t>*100</m:t>
          </m:r>
        </m:oMath>
      </m:oMathPara>
    </w:p>
    <w:p w14:paraId="3C77CB3B" w14:textId="77777777" w:rsidR="001360B3" w:rsidRDefault="001360B3" w:rsidP="00123ECB">
      <w:pPr>
        <w:spacing w:after="20"/>
      </w:pPr>
    </w:p>
    <w:p w14:paraId="52519B58" w14:textId="2022EEC6" w:rsidR="00B378AB" w:rsidRDefault="00B378AB" w:rsidP="00123ECB">
      <w:pPr>
        <w:spacing w:after="20"/>
      </w:pPr>
      <w:r>
        <w:t xml:space="preserve">Where: </w:t>
      </w:r>
    </w:p>
    <w:p w14:paraId="401DB995" w14:textId="50309FAB" w:rsidR="00B378AB" w:rsidRDefault="00000000" w:rsidP="006363C8">
      <w:pPr>
        <w:spacing w:after="20"/>
      </w:pPr>
      <m:oMath>
        <m:sSub>
          <m:sSubPr>
            <m:ctrlPr>
              <w:rPr>
                <w:rFonts w:ascii="Cambria Math" w:hAnsi="Cambria Math"/>
                <w:i/>
              </w:rPr>
            </m:ctrlPr>
          </m:sSubPr>
          <m:e>
            <m:r>
              <w:rPr>
                <w:rFonts w:ascii="Cambria Math" w:hAnsi="Cambria Math"/>
              </w:rPr>
              <m:t>PS</m:t>
            </m:r>
          </m:e>
          <m:sub>
            <m:r>
              <w:rPr>
                <w:rFonts w:ascii="Cambria Math" w:hAnsi="Cambria Math"/>
              </w:rPr>
              <m:t>n,f</m:t>
            </m:r>
          </m:sub>
        </m:sSub>
      </m:oMath>
      <w:r w:rsidR="006363C8">
        <w:t xml:space="preserve"> is the</w:t>
      </w:r>
      <w:r w:rsidR="006363C8" w:rsidRPr="006363C8">
        <w:t xml:space="preserve"> </w:t>
      </w:r>
      <w:r w:rsidR="006363C8">
        <w:t xml:space="preserve">percentage of schools at level </w:t>
      </w:r>
      <m:oMath>
        <m:r>
          <w:rPr>
            <w:rFonts w:ascii="Cambria Math" w:hAnsi="Cambria Math"/>
          </w:rPr>
          <m:t>n</m:t>
        </m:r>
      </m:oMath>
      <w:r w:rsidR="006363C8">
        <w:t xml:space="preserve"> of education with access to facility </w:t>
      </w:r>
      <m:oMath>
        <m:r>
          <w:rPr>
            <w:rFonts w:ascii="Cambria Math" w:hAnsi="Cambria Math"/>
          </w:rPr>
          <m:t>f</m:t>
        </m:r>
      </m:oMath>
    </w:p>
    <w:p w14:paraId="7D876D4D" w14:textId="425F05D3" w:rsidR="00B378AB" w:rsidRDefault="00000000" w:rsidP="00123ECB">
      <w:pPr>
        <w:spacing w:after="20"/>
      </w:pPr>
      <m:oMath>
        <m:sSub>
          <m:sSubPr>
            <m:ctrlPr>
              <w:rPr>
                <w:rFonts w:ascii="Cambria Math" w:hAnsi="Cambria Math"/>
                <w:i/>
              </w:rPr>
            </m:ctrlPr>
          </m:sSubPr>
          <m:e>
            <m:r>
              <w:rPr>
                <w:rFonts w:ascii="Cambria Math" w:hAnsi="Cambria Math"/>
              </w:rPr>
              <m:t>S</m:t>
            </m:r>
          </m:e>
          <m:sub>
            <m:r>
              <w:rPr>
                <w:rFonts w:ascii="Cambria Math" w:hAnsi="Cambria Math"/>
              </w:rPr>
              <m:t>n,f</m:t>
            </m:r>
          </m:sub>
        </m:sSub>
      </m:oMath>
      <w:r w:rsidR="00A84059">
        <w:t xml:space="preserve"> schools at level </w:t>
      </w:r>
      <m:oMath>
        <m:r>
          <w:rPr>
            <w:rFonts w:ascii="Cambria Math" w:hAnsi="Cambria Math"/>
          </w:rPr>
          <m:t>n</m:t>
        </m:r>
      </m:oMath>
      <w:r w:rsidR="00A84059">
        <w:t xml:space="preserve"> of education with access to facility </w:t>
      </w:r>
      <m:oMath>
        <m:r>
          <w:rPr>
            <w:rFonts w:ascii="Cambria Math" w:hAnsi="Cambria Math"/>
          </w:rPr>
          <m:t>f</m:t>
        </m:r>
      </m:oMath>
    </w:p>
    <w:p w14:paraId="0C639577" w14:textId="7E02D7A9" w:rsidR="00A84059" w:rsidRPr="006363C8" w:rsidRDefault="00000000" w:rsidP="00123ECB">
      <w:pPr>
        <w:spacing w:after="20"/>
      </w:pP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72114D">
        <w:t xml:space="preserve"> </w:t>
      </w:r>
      <w:r w:rsidR="00A84059">
        <w:t xml:space="preserve">total number of schools at level </w:t>
      </w:r>
      <m:oMath>
        <m:r>
          <w:rPr>
            <w:rFonts w:ascii="Cambria Math" w:hAnsi="Cambria Math"/>
          </w:rPr>
          <m:t>n</m:t>
        </m:r>
      </m:oMath>
      <w:r w:rsidR="00A84059">
        <w:t xml:space="preserve"> of education</w:t>
      </w:r>
    </w:p>
    <w:p w14:paraId="08CD4EE2" w14:textId="77777777" w:rsidR="001360B3" w:rsidRDefault="001360B3" w:rsidP="00123ECB">
      <w:pPr>
        <w:spacing w:after="20"/>
      </w:pPr>
    </w:p>
    <w:p w14:paraId="2C4B4A34" w14:textId="2E5F1FB8" w:rsidR="00314786" w:rsidRDefault="00A51750" w:rsidP="00123ECB">
      <w:pPr>
        <w:spacing w:after="20"/>
      </w:pPr>
      <w:r>
        <w:t>-------</w:t>
      </w:r>
    </w:p>
    <w:p w14:paraId="541FC46E" w14:textId="77777777" w:rsidR="007437E5" w:rsidRDefault="007437E5" w:rsidP="00123ECB">
      <w:pPr>
        <w:spacing w:after="20"/>
        <w:rPr>
          <w:b/>
          <w:bCs/>
        </w:rPr>
      </w:pPr>
    </w:p>
    <w:p w14:paraId="77DD12C6" w14:textId="093BBF1F" w:rsidR="00EE638D" w:rsidRPr="00EE638D" w:rsidRDefault="00EE638D" w:rsidP="00123ECB">
      <w:pPr>
        <w:spacing w:after="20"/>
        <w:rPr>
          <w:b/>
          <w:bCs/>
        </w:rPr>
      </w:pPr>
      <w:r>
        <w:rPr>
          <w:b/>
          <w:bCs/>
        </w:rPr>
        <w:t>For f</w:t>
      </w:r>
      <w:r w:rsidRPr="00EE638D">
        <w:rPr>
          <w:b/>
          <w:bCs/>
        </w:rPr>
        <w:t>urther documentation, please visit:</w:t>
      </w:r>
    </w:p>
    <w:p w14:paraId="6B79CA80" w14:textId="0D87C6C6" w:rsidR="007369C3" w:rsidRPr="007437E5" w:rsidRDefault="007437E5" w:rsidP="00123ECB">
      <w:pPr>
        <w:spacing w:after="20"/>
      </w:pPr>
      <w:r>
        <w:t>Ministry of Education</w:t>
      </w:r>
      <w:r w:rsidR="00A51750" w:rsidRPr="007437E5">
        <w:t xml:space="preserve">: </w:t>
      </w:r>
      <w:hyperlink r:id="rId12" w:history="1">
        <w:r w:rsidRPr="00CA5F21">
          <w:rPr>
            <w:rStyle w:val="Hyperlink"/>
          </w:rPr>
          <w:t>https://xxxxxxxxx.com</w:t>
        </w:r>
      </w:hyperlink>
      <w:r w:rsidRPr="007437E5">
        <w:t xml:space="preserve"> </w:t>
      </w:r>
    </w:p>
    <w:p w14:paraId="3BF05FB4" w14:textId="680AACB0" w:rsidR="00EE638D" w:rsidRPr="007437E5" w:rsidRDefault="00EE638D" w:rsidP="00123ECB">
      <w:pPr>
        <w:spacing w:after="20"/>
        <w:rPr>
          <w:b/>
          <w:bCs/>
        </w:rPr>
      </w:pPr>
    </w:p>
    <w:p w14:paraId="4564D439" w14:textId="77777777" w:rsidR="00123ECB" w:rsidRPr="007B2ADE" w:rsidRDefault="00123ECB" w:rsidP="00123ECB">
      <w:pPr>
        <w:spacing w:after="20"/>
      </w:pPr>
    </w:p>
    <w:sectPr w:rsidR="00123ECB" w:rsidRPr="007B2A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5017" w14:textId="77777777" w:rsidR="00DA2358" w:rsidRDefault="00DA2358" w:rsidP="00565DCB">
      <w:pPr>
        <w:spacing w:after="0" w:line="240" w:lineRule="auto"/>
      </w:pPr>
      <w:r>
        <w:separator/>
      </w:r>
    </w:p>
  </w:endnote>
  <w:endnote w:type="continuationSeparator" w:id="0">
    <w:p w14:paraId="0D147BA5" w14:textId="77777777" w:rsidR="00DA2358" w:rsidRDefault="00DA2358" w:rsidP="0056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1695" w14:textId="77777777" w:rsidR="00DA2358" w:rsidRDefault="00DA2358" w:rsidP="00565DCB">
      <w:pPr>
        <w:spacing w:after="0" w:line="240" w:lineRule="auto"/>
      </w:pPr>
      <w:r>
        <w:separator/>
      </w:r>
    </w:p>
  </w:footnote>
  <w:footnote w:type="continuationSeparator" w:id="0">
    <w:p w14:paraId="0FE5DE13" w14:textId="77777777" w:rsidR="00DA2358" w:rsidRDefault="00DA2358" w:rsidP="00565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68A"/>
    <w:multiLevelType w:val="hybridMultilevel"/>
    <w:tmpl w:val="5EE603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83B38"/>
    <w:multiLevelType w:val="hybridMultilevel"/>
    <w:tmpl w:val="390495B8"/>
    <w:lvl w:ilvl="0" w:tplc="21B8E084">
      <w:start w:val="1"/>
      <w:numFmt w:val="bullet"/>
      <w:lvlText w:val="•"/>
      <w:lvlJc w:val="left"/>
      <w:pPr>
        <w:tabs>
          <w:tab w:val="num" w:pos="720"/>
        </w:tabs>
        <w:ind w:left="720" w:hanging="360"/>
      </w:pPr>
      <w:rPr>
        <w:rFonts w:ascii="Arial" w:hAnsi="Arial" w:hint="default"/>
      </w:rPr>
    </w:lvl>
    <w:lvl w:ilvl="1" w:tplc="E508F750" w:tentative="1">
      <w:start w:val="1"/>
      <w:numFmt w:val="bullet"/>
      <w:lvlText w:val="•"/>
      <w:lvlJc w:val="left"/>
      <w:pPr>
        <w:tabs>
          <w:tab w:val="num" w:pos="1440"/>
        </w:tabs>
        <w:ind w:left="1440" w:hanging="360"/>
      </w:pPr>
      <w:rPr>
        <w:rFonts w:ascii="Arial" w:hAnsi="Arial" w:hint="default"/>
      </w:rPr>
    </w:lvl>
    <w:lvl w:ilvl="2" w:tplc="7D721A62" w:tentative="1">
      <w:start w:val="1"/>
      <w:numFmt w:val="bullet"/>
      <w:lvlText w:val="•"/>
      <w:lvlJc w:val="left"/>
      <w:pPr>
        <w:tabs>
          <w:tab w:val="num" w:pos="2160"/>
        </w:tabs>
        <w:ind w:left="2160" w:hanging="360"/>
      </w:pPr>
      <w:rPr>
        <w:rFonts w:ascii="Arial" w:hAnsi="Arial" w:hint="default"/>
      </w:rPr>
    </w:lvl>
    <w:lvl w:ilvl="3" w:tplc="833C0E74" w:tentative="1">
      <w:start w:val="1"/>
      <w:numFmt w:val="bullet"/>
      <w:lvlText w:val="•"/>
      <w:lvlJc w:val="left"/>
      <w:pPr>
        <w:tabs>
          <w:tab w:val="num" w:pos="2880"/>
        </w:tabs>
        <w:ind w:left="2880" w:hanging="360"/>
      </w:pPr>
      <w:rPr>
        <w:rFonts w:ascii="Arial" w:hAnsi="Arial" w:hint="default"/>
      </w:rPr>
    </w:lvl>
    <w:lvl w:ilvl="4" w:tplc="F8D239BE" w:tentative="1">
      <w:start w:val="1"/>
      <w:numFmt w:val="bullet"/>
      <w:lvlText w:val="•"/>
      <w:lvlJc w:val="left"/>
      <w:pPr>
        <w:tabs>
          <w:tab w:val="num" w:pos="3600"/>
        </w:tabs>
        <w:ind w:left="3600" w:hanging="360"/>
      </w:pPr>
      <w:rPr>
        <w:rFonts w:ascii="Arial" w:hAnsi="Arial" w:hint="default"/>
      </w:rPr>
    </w:lvl>
    <w:lvl w:ilvl="5" w:tplc="8DAC9DBC" w:tentative="1">
      <w:start w:val="1"/>
      <w:numFmt w:val="bullet"/>
      <w:lvlText w:val="•"/>
      <w:lvlJc w:val="left"/>
      <w:pPr>
        <w:tabs>
          <w:tab w:val="num" w:pos="4320"/>
        </w:tabs>
        <w:ind w:left="4320" w:hanging="360"/>
      </w:pPr>
      <w:rPr>
        <w:rFonts w:ascii="Arial" w:hAnsi="Arial" w:hint="default"/>
      </w:rPr>
    </w:lvl>
    <w:lvl w:ilvl="6" w:tplc="B280533E" w:tentative="1">
      <w:start w:val="1"/>
      <w:numFmt w:val="bullet"/>
      <w:lvlText w:val="•"/>
      <w:lvlJc w:val="left"/>
      <w:pPr>
        <w:tabs>
          <w:tab w:val="num" w:pos="5040"/>
        </w:tabs>
        <w:ind w:left="5040" w:hanging="360"/>
      </w:pPr>
      <w:rPr>
        <w:rFonts w:ascii="Arial" w:hAnsi="Arial" w:hint="default"/>
      </w:rPr>
    </w:lvl>
    <w:lvl w:ilvl="7" w:tplc="F70C1256" w:tentative="1">
      <w:start w:val="1"/>
      <w:numFmt w:val="bullet"/>
      <w:lvlText w:val="•"/>
      <w:lvlJc w:val="left"/>
      <w:pPr>
        <w:tabs>
          <w:tab w:val="num" w:pos="5760"/>
        </w:tabs>
        <w:ind w:left="5760" w:hanging="360"/>
      </w:pPr>
      <w:rPr>
        <w:rFonts w:ascii="Arial" w:hAnsi="Arial" w:hint="default"/>
      </w:rPr>
    </w:lvl>
    <w:lvl w:ilvl="8" w:tplc="B560D6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AB78E2"/>
    <w:multiLevelType w:val="hybridMultilevel"/>
    <w:tmpl w:val="08D656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7D1D1F"/>
    <w:multiLevelType w:val="hybridMultilevel"/>
    <w:tmpl w:val="BBE84370"/>
    <w:lvl w:ilvl="0" w:tplc="9CF4ECA2">
      <w:start w:val="1"/>
      <w:numFmt w:val="bullet"/>
      <w:lvlText w:val="•"/>
      <w:lvlJc w:val="left"/>
      <w:pPr>
        <w:tabs>
          <w:tab w:val="num" w:pos="720"/>
        </w:tabs>
        <w:ind w:left="720" w:hanging="360"/>
      </w:pPr>
      <w:rPr>
        <w:rFonts w:ascii="Arial" w:hAnsi="Arial" w:hint="default"/>
      </w:rPr>
    </w:lvl>
    <w:lvl w:ilvl="1" w:tplc="87EE23BE">
      <w:start w:val="1"/>
      <w:numFmt w:val="bullet"/>
      <w:lvlText w:val="•"/>
      <w:lvlJc w:val="left"/>
      <w:pPr>
        <w:tabs>
          <w:tab w:val="num" w:pos="1440"/>
        </w:tabs>
        <w:ind w:left="1440" w:hanging="360"/>
      </w:pPr>
      <w:rPr>
        <w:rFonts w:ascii="Arial" w:hAnsi="Arial" w:hint="default"/>
      </w:rPr>
    </w:lvl>
    <w:lvl w:ilvl="2" w:tplc="7A465456">
      <w:start w:val="1"/>
      <w:numFmt w:val="bullet"/>
      <w:lvlText w:val="•"/>
      <w:lvlJc w:val="left"/>
      <w:pPr>
        <w:tabs>
          <w:tab w:val="num" w:pos="2160"/>
        </w:tabs>
        <w:ind w:left="2160" w:hanging="360"/>
      </w:pPr>
      <w:rPr>
        <w:rFonts w:ascii="Arial" w:hAnsi="Arial" w:hint="default"/>
      </w:rPr>
    </w:lvl>
    <w:lvl w:ilvl="3" w:tplc="CD249482">
      <w:start w:val="1"/>
      <w:numFmt w:val="bullet"/>
      <w:lvlText w:val="•"/>
      <w:lvlJc w:val="left"/>
      <w:pPr>
        <w:tabs>
          <w:tab w:val="num" w:pos="2880"/>
        </w:tabs>
        <w:ind w:left="2880" w:hanging="360"/>
      </w:pPr>
      <w:rPr>
        <w:rFonts w:ascii="Arial" w:hAnsi="Arial" w:hint="default"/>
      </w:rPr>
    </w:lvl>
    <w:lvl w:ilvl="4" w:tplc="BF1AB866" w:tentative="1">
      <w:start w:val="1"/>
      <w:numFmt w:val="bullet"/>
      <w:lvlText w:val="•"/>
      <w:lvlJc w:val="left"/>
      <w:pPr>
        <w:tabs>
          <w:tab w:val="num" w:pos="3600"/>
        </w:tabs>
        <w:ind w:left="3600" w:hanging="360"/>
      </w:pPr>
      <w:rPr>
        <w:rFonts w:ascii="Arial" w:hAnsi="Arial" w:hint="default"/>
      </w:rPr>
    </w:lvl>
    <w:lvl w:ilvl="5" w:tplc="BFB046FC" w:tentative="1">
      <w:start w:val="1"/>
      <w:numFmt w:val="bullet"/>
      <w:lvlText w:val="•"/>
      <w:lvlJc w:val="left"/>
      <w:pPr>
        <w:tabs>
          <w:tab w:val="num" w:pos="4320"/>
        </w:tabs>
        <w:ind w:left="4320" w:hanging="360"/>
      </w:pPr>
      <w:rPr>
        <w:rFonts w:ascii="Arial" w:hAnsi="Arial" w:hint="default"/>
      </w:rPr>
    </w:lvl>
    <w:lvl w:ilvl="6" w:tplc="87A42BF8" w:tentative="1">
      <w:start w:val="1"/>
      <w:numFmt w:val="bullet"/>
      <w:lvlText w:val="•"/>
      <w:lvlJc w:val="left"/>
      <w:pPr>
        <w:tabs>
          <w:tab w:val="num" w:pos="5040"/>
        </w:tabs>
        <w:ind w:left="5040" w:hanging="360"/>
      </w:pPr>
      <w:rPr>
        <w:rFonts w:ascii="Arial" w:hAnsi="Arial" w:hint="default"/>
      </w:rPr>
    </w:lvl>
    <w:lvl w:ilvl="7" w:tplc="3E5CCA46" w:tentative="1">
      <w:start w:val="1"/>
      <w:numFmt w:val="bullet"/>
      <w:lvlText w:val="•"/>
      <w:lvlJc w:val="left"/>
      <w:pPr>
        <w:tabs>
          <w:tab w:val="num" w:pos="5760"/>
        </w:tabs>
        <w:ind w:left="5760" w:hanging="360"/>
      </w:pPr>
      <w:rPr>
        <w:rFonts w:ascii="Arial" w:hAnsi="Arial" w:hint="default"/>
      </w:rPr>
    </w:lvl>
    <w:lvl w:ilvl="8" w:tplc="76E471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791003"/>
    <w:multiLevelType w:val="hybridMultilevel"/>
    <w:tmpl w:val="08D656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132BEE"/>
    <w:multiLevelType w:val="hybridMultilevel"/>
    <w:tmpl w:val="D6D2C94E"/>
    <w:lvl w:ilvl="0" w:tplc="0409000F">
      <w:start w:val="1"/>
      <w:numFmt w:val="decimal"/>
      <w:lvlText w:val="%1."/>
      <w:lvlJc w:val="left"/>
      <w:pPr>
        <w:tabs>
          <w:tab w:val="num" w:pos="720"/>
        </w:tabs>
        <w:ind w:left="720" w:hanging="360"/>
      </w:pPr>
      <w:rPr>
        <w:rFonts w:hint="default"/>
      </w:rPr>
    </w:lvl>
    <w:lvl w:ilvl="1" w:tplc="C00E6B6C">
      <w:start w:val="1"/>
      <w:numFmt w:val="bullet"/>
      <w:lvlText w:val="•"/>
      <w:lvlJc w:val="left"/>
      <w:pPr>
        <w:tabs>
          <w:tab w:val="num" w:pos="1440"/>
        </w:tabs>
        <w:ind w:left="1440" w:hanging="360"/>
      </w:pPr>
      <w:rPr>
        <w:rFonts w:ascii="Times New Roman" w:hAnsi="Times New Roman" w:hint="default"/>
      </w:rPr>
    </w:lvl>
    <w:lvl w:ilvl="2" w:tplc="41E20056">
      <w:start w:val="1"/>
      <w:numFmt w:val="lowerLetter"/>
      <w:lvlText w:val="(%3)"/>
      <w:lvlJc w:val="left"/>
      <w:pPr>
        <w:ind w:left="2160" w:hanging="360"/>
      </w:pPr>
      <w:rPr>
        <w:rFonts w:hint="default"/>
      </w:rPr>
    </w:lvl>
    <w:lvl w:ilvl="3" w:tplc="ED461A92" w:tentative="1">
      <w:start w:val="1"/>
      <w:numFmt w:val="bullet"/>
      <w:lvlText w:val="•"/>
      <w:lvlJc w:val="left"/>
      <w:pPr>
        <w:tabs>
          <w:tab w:val="num" w:pos="2880"/>
        </w:tabs>
        <w:ind w:left="2880" w:hanging="360"/>
      </w:pPr>
      <w:rPr>
        <w:rFonts w:ascii="Times New Roman" w:hAnsi="Times New Roman" w:hint="default"/>
      </w:rPr>
    </w:lvl>
    <w:lvl w:ilvl="4" w:tplc="9244D5B4" w:tentative="1">
      <w:start w:val="1"/>
      <w:numFmt w:val="bullet"/>
      <w:lvlText w:val="•"/>
      <w:lvlJc w:val="left"/>
      <w:pPr>
        <w:tabs>
          <w:tab w:val="num" w:pos="3600"/>
        </w:tabs>
        <w:ind w:left="3600" w:hanging="360"/>
      </w:pPr>
      <w:rPr>
        <w:rFonts w:ascii="Times New Roman" w:hAnsi="Times New Roman" w:hint="default"/>
      </w:rPr>
    </w:lvl>
    <w:lvl w:ilvl="5" w:tplc="FA64812C" w:tentative="1">
      <w:start w:val="1"/>
      <w:numFmt w:val="bullet"/>
      <w:lvlText w:val="•"/>
      <w:lvlJc w:val="left"/>
      <w:pPr>
        <w:tabs>
          <w:tab w:val="num" w:pos="4320"/>
        </w:tabs>
        <w:ind w:left="4320" w:hanging="360"/>
      </w:pPr>
      <w:rPr>
        <w:rFonts w:ascii="Times New Roman" w:hAnsi="Times New Roman" w:hint="default"/>
      </w:rPr>
    </w:lvl>
    <w:lvl w:ilvl="6" w:tplc="E00CE538" w:tentative="1">
      <w:start w:val="1"/>
      <w:numFmt w:val="bullet"/>
      <w:lvlText w:val="•"/>
      <w:lvlJc w:val="left"/>
      <w:pPr>
        <w:tabs>
          <w:tab w:val="num" w:pos="5040"/>
        </w:tabs>
        <w:ind w:left="5040" w:hanging="360"/>
      </w:pPr>
      <w:rPr>
        <w:rFonts w:ascii="Times New Roman" w:hAnsi="Times New Roman" w:hint="default"/>
      </w:rPr>
    </w:lvl>
    <w:lvl w:ilvl="7" w:tplc="106C580E" w:tentative="1">
      <w:start w:val="1"/>
      <w:numFmt w:val="bullet"/>
      <w:lvlText w:val="•"/>
      <w:lvlJc w:val="left"/>
      <w:pPr>
        <w:tabs>
          <w:tab w:val="num" w:pos="5760"/>
        </w:tabs>
        <w:ind w:left="5760" w:hanging="360"/>
      </w:pPr>
      <w:rPr>
        <w:rFonts w:ascii="Times New Roman" w:hAnsi="Times New Roman" w:hint="default"/>
      </w:rPr>
    </w:lvl>
    <w:lvl w:ilvl="8" w:tplc="6F0826E6" w:tentative="1">
      <w:start w:val="1"/>
      <w:numFmt w:val="bullet"/>
      <w:lvlText w:val="•"/>
      <w:lvlJc w:val="left"/>
      <w:pPr>
        <w:tabs>
          <w:tab w:val="num" w:pos="6480"/>
        </w:tabs>
        <w:ind w:left="6480" w:hanging="360"/>
      </w:pPr>
      <w:rPr>
        <w:rFonts w:ascii="Times New Roman" w:hAnsi="Times New Roman" w:hint="default"/>
      </w:rPr>
    </w:lvl>
  </w:abstractNum>
  <w:num w:numId="1" w16cid:durableId="671562724">
    <w:abstractNumId w:val="5"/>
  </w:num>
  <w:num w:numId="2" w16cid:durableId="59907710">
    <w:abstractNumId w:val="3"/>
  </w:num>
  <w:num w:numId="3" w16cid:durableId="2144032663">
    <w:abstractNumId w:val="1"/>
  </w:num>
  <w:num w:numId="4" w16cid:durableId="1552882062">
    <w:abstractNumId w:val="0"/>
  </w:num>
  <w:num w:numId="5" w16cid:durableId="1780220470">
    <w:abstractNumId w:val="4"/>
  </w:num>
  <w:num w:numId="6" w16cid:durableId="1505583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C3"/>
    <w:rsid w:val="00044D62"/>
    <w:rsid w:val="00075C79"/>
    <w:rsid w:val="000F20C4"/>
    <w:rsid w:val="00123ECB"/>
    <w:rsid w:val="00135339"/>
    <w:rsid w:val="001360B3"/>
    <w:rsid w:val="00142B4B"/>
    <w:rsid w:val="00144183"/>
    <w:rsid w:val="0015438E"/>
    <w:rsid w:val="00170419"/>
    <w:rsid w:val="00194F2F"/>
    <w:rsid w:val="001A772C"/>
    <w:rsid w:val="001E63E3"/>
    <w:rsid w:val="001F10CB"/>
    <w:rsid w:val="002519DF"/>
    <w:rsid w:val="002730F3"/>
    <w:rsid w:val="002939F1"/>
    <w:rsid w:val="002971CF"/>
    <w:rsid w:val="00314786"/>
    <w:rsid w:val="00347623"/>
    <w:rsid w:val="00360422"/>
    <w:rsid w:val="00362D0D"/>
    <w:rsid w:val="00392D41"/>
    <w:rsid w:val="003C299A"/>
    <w:rsid w:val="003E47D5"/>
    <w:rsid w:val="00447BB0"/>
    <w:rsid w:val="00447D60"/>
    <w:rsid w:val="004D2600"/>
    <w:rsid w:val="004D5CE6"/>
    <w:rsid w:val="005243B9"/>
    <w:rsid w:val="00525741"/>
    <w:rsid w:val="00543F03"/>
    <w:rsid w:val="005475B8"/>
    <w:rsid w:val="00565DCB"/>
    <w:rsid w:val="005954EB"/>
    <w:rsid w:val="005E228E"/>
    <w:rsid w:val="006150D6"/>
    <w:rsid w:val="00623EB1"/>
    <w:rsid w:val="0062466D"/>
    <w:rsid w:val="00632394"/>
    <w:rsid w:val="006363C8"/>
    <w:rsid w:val="006421F4"/>
    <w:rsid w:val="0067276C"/>
    <w:rsid w:val="00680D48"/>
    <w:rsid w:val="0072114D"/>
    <w:rsid w:val="00732447"/>
    <w:rsid w:val="007369C3"/>
    <w:rsid w:val="007437E5"/>
    <w:rsid w:val="00750CF9"/>
    <w:rsid w:val="007A76C6"/>
    <w:rsid w:val="007B2ADE"/>
    <w:rsid w:val="007C1DC3"/>
    <w:rsid w:val="007D37B9"/>
    <w:rsid w:val="007D7370"/>
    <w:rsid w:val="00885107"/>
    <w:rsid w:val="00885CAF"/>
    <w:rsid w:val="008A676E"/>
    <w:rsid w:val="008E6AE0"/>
    <w:rsid w:val="0090150E"/>
    <w:rsid w:val="00984A2B"/>
    <w:rsid w:val="009B5585"/>
    <w:rsid w:val="009C4808"/>
    <w:rsid w:val="00A4664D"/>
    <w:rsid w:val="00A51750"/>
    <w:rsid w:val="00A82022"/>
    <w:rsid w:val="00A84059"/>
    <w:rsid w:val="00AA0CD0"/>
    <w:rsid w:val="00AA20E5"/>
    <w:rsid w:val="00AD58A3"/>
    <w:rsid w:val="00AE64DE"/>
    <w:rsid w:val="00B378AB"/>
    <w:rsid w:val="00B415A8"/>
    <w:rsid w:val="00B81D8B"/>
    <w:rsid w:val="00B97183"/>
    <w:rsid w:val="00C0749D"/>
    <w:rsid w:val="00C3174A"/>
    <w:rsid w:val="00C52DCF"/>
    <w:rsid w:val="00C604FA"/>
    <w:rsid w:val="00C80735"/>
    <w:rsid w:val="00CA3C14"/>
    <w:rsid w:val="00CA583A"/>
    <w:rsid w:val="00CD37FB"/>
    <w:rsid w:val="00D3327F"/>
    <w:rsid w:val="00D35F77"/>
    <w:rsid w:val="00DA2358"/>
    <w:rsid w:val="00DD3CF0"/>
    <w:rsid w:val="00E14806"/>
    <w:rsid w:val="00E22274"/>
    <w:rsid w:val="00E365F3"/>
    <w:rsid w:val="00E66F17"/>
    <w:rsid w:val="00E94BF5"/>
    <w:rsid w:val="00ED2F60"/>
    <w:rsid w:val="00EE49B6"/>
    <w:rsid w:val="00EE638D"/>
    <w:rsid w:val="00F1090A"/>
    <w:rsid w:val="00F32E37"/>
    <w:rsid w:val="00F36FF9"/>
    <w:rsid w:val="00FB3B53"/>
    <w:rsid w:val="00FC23E7"/>
    <w:rsid w:val="00FD13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FF13E"/>
  <w15:chartTrackingRefBased/>
  <w15:docId w15:val="{ACE7F005-738D-4381-8B0A-7E139AD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F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9C3"/>
    <w:rPr>
      <w:color w:val="0563C1" w:themeColor="hyperlink"/>
      <w:u w:val="single"/>
    </w:rPr>
  </w:style>
  <w:style w:type="character" w:styleId="UnresolvedMention">
    <w:name w:val="Unresolved Mention"/>
    <w:basedOn w:val="DefaultParagraphFont"/>
    <w:uiPriority w:val="99"/>
    <w:semiHidden/>
    <w:unhideWhenUsed/>
    <w:rsid w:val="007369C3"/>
    <w:rPr>
      <w:color w:val="605E5C"/>
      <w:shd w:val="clear" w:color="auto" w:fill="E1DFDD"/>
    </w:rPr>
  </w:style>
  <w:style w:type="paragraph" w:styleId="ListParagraph">
    <w:name w:val="List Paragraph"/>
    <w:basedOn w:val="Normal"/>
    <w:uiPriority w:val="34"/>
    <w:qFormat/>
    <w:rsid w:val="007369C3"/>
    <w:pPr>
      <w:ind w:left="720"/>
      <w:contextualSpacing/>
    </w:pPr>
  </w:style>
  <w:style w:type="paragraph" w:styleId="Header">
    <w:name w:val="header"/>
    <w:basedOn w:val="Normal"/>
    <w:link w:val="HeaderChar"/>
    <w:uiPriority w:val="99"/>
    <w:unhideWhenUsed/>
    <w:rsid w:val="00565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DCB"/>
  </w:style>
  <w:style w:type="paragraph" w:styleId="Footer">
    <w:name w:val="footer"/>
    <w:basedOn w:val="Normal"/>
    <w:link w:val="FooterChar"/>
    <w:uiPriority w:val="99"/>
    <w:unhideWhenUsed/>
    <w:rsid w:val="00565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DCB"/>
  </w:style>
  <w:style w:type="character" w:styleId="PlaceholderText">
    <w:name w:val="Placeholder Text"/>
    <w:basedOn w:val="DefaultParagraphFont"/>
    <w:uiPriority w:val="99"/>
    <w:semiHidden/>
    <w:rsid w:val="001360B3"/>
    <w:rPr>
      <w:color w:val="808080"/>
    </w:rPr>
  </w:style>
  <w:style w:type="character" w:customStyle="1" w:styleId="Heading1Char">
    <w:name w:val="Heading 1 Char"/>
    <w:basedOn w:val="DefaultParagraphFont"/>
    <w:link w:val="Heading1"/>
    <w:uiPriority w:val="9"/>
    <w:rsid w:val="00194F2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519DF"/>
    <w:pPr>
      <w:spacing w:after="0" w:line="240" w:lineRule="auto"/>
    </w:pPr>
  </w:style>
  <w:style w:type="character" w:styleId="CommentReference">
    <w:name w:val="annotation reference"/>
    <w:basedOn w:val="DefaultParagraphFont"/>
    <w:uiPriority w:val="99"/>
    <w:semiHidden/>
    <w:unhideWhenUsed/>
    <w:rsid w:val="003C299A"/>
    <w:rPr>
      <w:sz w:val="16"/>
      <w:szCs w:val="16"/>
    </w:rPr>
  </w:style>
  <w:style w:type="paragraph" w:styleId="CommentText">
    <w:name w:val="annotation text"/>
    <w:basedOn w:val="Normal"/>
    <w:link w:val="CommentTextChar"/>
    <w:uiPriority w:val="99"/>
    <w:unhideWhenUsed/>
    <w:rsid w:val="003C299A"/>
    <w:pPr>
      <w:spacing w:line="240" w:lineRule="auto"/>
    </w:pPr>
    <w:rPr>
      <w:sz w:val="20"/>
      <w:szCs w:val="20"/>
    </w:rPr>
  </w:style>
  <w:style w:type="character" w:customStyle="1" w:styleId="CommentTextChar">
    <w:name w:val="Comment Text Char"/>
    <w:basedOn w:val="DefaultParagraphFont"/>
    <w:link w:val="CommentText"/>
    <w:uiPriority w:val="99"/>
    <w:rsid w:val="003C299A"/>
    <w:rPr>
      <w:sz w:val="20"/>
      <w:szCs w:val="20"/>
    </w:rPr>
  </w:style>
  <w:style w:type="paragraph" w:styleId="CommentSubject">
    <w:name w:val="annotation subject"/>
    <w:basedOn w:val="CommentText"/>
    <w:next w:val="CommentText"/>
    <w:link w:val="CommentSubjectChar"/>
    <w:uiPriority w:val="99"/>
    <w:semiHidden/>
    <w:unhideWhenUsed/>
    <w:rsid w:val="003C299A"/>
    <w:rPr>
      <w:b/>
      <w:bCs/>
    </w:rPr>
  </w:style>
  <w:style w:type="character" w:customStyle="1" w:styleId="CommentSubjectChar">
    <w:name w:val="Comment Subject Char"/>
    <w:basedOn w:val="CommentTextChar"/>
    <w:link w:val="CommentSubject"/>
    <w:uiPriority w:val="99"/>
    <w:semiHidden/>
    <w:rsid w:val="003C299A"/>
    <w:rPr>
      <w:b/>
      <w:bCs/>
      <w:sz w:val="20"/>
      <w:szCs w:val="20"/>
    </w:rPr>
  </w:style>
  <w:style w:type="table" w:styleId="TableGrid">
    <w:name w:val="Table Grid"/>
    <w:basedOn w:val="TableNormal"/>
    <w:uiPriority w:val="39"/>
    <w:rsid w:val="00743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5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26618">
      <w:bodyDiv w:val="1"/>
      <w:marLeft w:val="0"/>
      <w:marRight w:val="0"/>
      <w:marTop w:val="0"/>
      <w:marBottom w:val="0"/>
      <w:divBdr>
        <w:top w:val="none" w:sz="0" w:space="0" w:color="auto"/>
        <w:left w:val="none" w:sz="0" w:space="0" w:color="auto"/>
        <w:bottom w:val="none" w:sz="0" w:space="0" w:color="auto"/>
        <w:right w:val="none" w:sz="0" w:space="0" w:color="auto"/>
      </w:divBdr>
    </w:div>
    <w:div w:id="1301617641">
      <w:bodyDiv w:val="1"/>
      <w:marLeft w:val="0"/>
      <w:marRight w:val="0"/>
      <w:marTop w:val="0"/>
      <w:marBottom w:val="0"/>
      <w:divBdr>
        <w:top w:val="none" w:sz="0" w:space="0" w:color="auto"/>
        <w:left w:val="none" w:sz="0" w:space="0" w:color="auto"/>
        <w:bottom w:val="none" w:sz="0" w:space="0" w:color="auto"/>
        <w:right w:val="none" w:sz="0" w:space="0" w:color="auto"/>
      </w:divBdr>
      <w:divsChild>
        <w:div w:id="548684670">
          <w:marLeft w:val="547"/>
          <w:marRight w:val="0"/>
          <w:marTop w:val="0"/>
          <w:marBottom w:val="0"/>
          <w:divBdr>
            <w:top w:val="none" w:sz="0" w:space="0" w:color="auto"/>
            <w:left w:val="none" w:sz="0" w:space="0" w:color="auto"/>
            <w:bottom w:val="none" w:sz="0" w:space="0" w:color="auto"/>
            <w:right w:val="none" w:sz="0" w:space="0" w:color="auto"/>
          </w:divBdr>
        </w:div>
      </w:divsChild>
    </w:div>
    <w:div w:id="1441755878">
      <w:bodyDiv w:val="1"/>
      <w:marLeft w:val="0"/>
      <w:marRight w:val="0"/>
      <w:marTop w:val="0"/>
      <w:marBottom w:val="0"/>
      <w:divBdr>
        <w:top w:val="none" w:sz="0" w:space="0" w:color="auto"/>
        <w:left w:val="none" w:sz="0" w:space="0" w:color="auto"/>
        <w:bottom w:val="none" w:sz="0" w:space="0" w:color="auto"/>
        <w:right w:val="none" w:sz="0" w:space="0" w:color="auto"/>
      </w:divBdr>
      <w:divsChild>
        <w:div w:id="1479348704">
          <w:marLeft w:val="360"/>
          <w:marRight w:val="0"/>
          <w:marTop w:val="120"/>
          <w:marBottom w:val="120"/>
          <w:divBdr>
            <w:top w:val="none" w:sz="0" w:space="0" w:color="auto"/>
            <w:left w:val="none" w:sz="0" w:space="0" w:color="auto"/>
            <w:bottom w:val="none" w:sz="0" w:space="0" w:color="auto"/>
            <w:right w:val="none" w:sz="0" w:space="0" w:color="auto"/>
          </w:divBdr>
        </w:div>
      </w:divsChild>
    </w:div>
    <w:div w:id="1489517117">
      <w:bodyDiv w:val="1"/>
      <w:marLeft w:val="0"/>
      <w:marRight w:val="0"/>
      <w:marTop w:val="0"/>
      <w:marBottom w:val="0"/>
      <w:divBdr>
        <w:top w:val="none" w:sz="0" w:space="0" w:color="auto"/>
        <w:left w:val="none" w:sz="0" w:space="0" w:color="auto"/>
        <w:bottom w:val="none" w:sz="0" w:space="0" w:color="auto"/>
        <w:right w:val="none" w:sz="0" w:space="0" w:color="auto"/>
      </w:divBdr>
      <w:divsChild>
        <w:div w:id="1286473470">
          <w:marLeft w:val="360"/>
          <w:marRight w:val="0"/>
          <w:marTop w:val="120"/>
          <w:marBottom w:val="120"/>
          <w:divBdr>
            <w:top w:val="none" w:sz="0" w:space="0" w:color="auto"/>
            <w:left w:val="none" w:sz="0" w:space="0" w:color="auto"/>
            <w:bottom w:val="none" w:sz="0" w:space="0" w:color="auto"/>
            <w:right w:val="none" w:sz="0" w:space="0" w:color="auto"/>
          </w:divBdr>
        </w:div>
      </w:divsChild>
    </w:div>
    <w:div w:id="15367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sdmx-sdgs/metadata/raw/master/SDG_Metadata_Template.do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xxxxxxx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dg-metadata-sdmx.herokuap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7FAA-996A-42D3-80E0-D76810F6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Harumi Shibata Salazar</dc:creator>
  <cp:keywords/>
  <dc:description/>
  <cp:lastModifiedBy>Abdulla Gozalov</cp:lastModifiedBy>
  <cp:revision>5</cp:revision>
  <dcterms:created xsi:type="dcterms:W3CDTF">2024-05-30T17:21:00Z</dcterms:created>
  <dcterms:modified xsi:type="dcterms:W3CDTF">2024-06-02T19:33:00Z</dcterms:modified>
</cp:coreProperties>
</file>